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1E" w:rsidRPr="00745259" w:rsidRDefault="00B20A1E" w:rsidP="004E15E2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F763C0" w:rsidRDefault="00F763C0" w:rsidP="004E15E2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F763C0" w:rsidRDefault="00F763C0" w:rsidP="00F763C0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Нарада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актуальних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питань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діяльності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виконавчої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>дирекції</w:t>
      </w:r>
      <w:proofErr w:type="spellEnd"/>
      <w:r w:rsidRPr="004E15E2">
        <w:rPr>
          <w:rFonts w:ascii="Times New Roman" w:eastAsia="Times New Roman" w:hAnsi="Times New Roman" w:cs="Times New Roman"/>
          <w:b/>
          <w:bCs/>
          <w:color w:val="356092"/>
          <w:kern w:val="36"/>
          <w:sz w:val="20"/>
          <w:szCs w:val="20"/>
          <w:lang w:eastAsia="ru-RU"/>
        </w:rPr>
        <w:t xml:space="preserve"> Фонду</w:t>
      </w:r>
    </w:p>
    <w:p w:rsidR="00F763C0" w:rsidRDefault="00F763C0" w:rsidP="004E15E2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286EE7" w:rsidRDefault="00286EE7" w:rsidP="004E15E2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0A1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24 січня поточного року у приміщенні "Будинку профспілок"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0A1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м.Дніпро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20A1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начальник управління виконавчої дирекції Фонду соціального страхування України у Дніпропетровській області Борис Мазур та колектив управління прийняли участь у нараді з актуальних питань діяльності Управління, яка відбулась за участю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члена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Фонду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Миколи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Житника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керівника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Дніпропетровської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обласної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спілки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«МИР»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Олександра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Бобкова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заслуженого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лікаря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завідуючої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профпаталогії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обласної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лікарні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ім.Мечнікова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Світлани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Харківської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також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представників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громадських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організацій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міст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Павлоград,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Кривий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Ріг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Тернівка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Марганець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Першотравенськ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Жовті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Води та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смт.Петропавлівка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усього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близько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40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присутніх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4E15E2" w:rsidRPr="004E15E2" w:rsidRDefault="004E15E2" w:rsidP="004E15E2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Б.Мазур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проінформував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присутніх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роботи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виконавчої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дирекції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Фонду за 2019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рік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зауважив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виконавчої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дирекції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Фонду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є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робочим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органом Фонду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завданнями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є:</w:t>
      </w:r>
    </w:p>
    <w:p w:rsidR="004E15E2" w:rsidRPr="004E15E2" w:rsidRDefault="004E15E2" w:rsidP="004E1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реалізація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державної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політики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сферах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нещасного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випадку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професійного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захворювання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спричинили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втрату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працездатності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зв’язку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тимчасовою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втратою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працездатності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4E15E2" w:rsidRPr="004E15E2" w:rsidRDefault="004E15E2" w:rsidP="004E1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bookmarkStart w:id="0" w:name="n118"/>
      <w:bookmarkEnd w:id="0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матеріального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страхових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виплат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відповідно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цього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Закону;</w:t>
      </w:r>
    </w:p>
    <w:p w:rsidR="004E15E2" w:rsidRPr="004E15E2" w:rsidRDefault="004E15E2" w:rsidP="004E1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bookmarkStart w:id="1" w:name="n119"/>
      <w:bookmarkEnd w:id="1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профілактика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нещасних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випадків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4E15E2" w:rsidRPr="004E15E2" w:rsidRDefault="004E15E2" w:rsidP="004E1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bookmarkStart w:id="2" w:name="n120"/>
      <w:bookmarkStart w:id="3" w:name="n122"/>
      <w:bookmarkEnd w:id="2"/>
      <w:bookmarkEnd w:id="3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здійснення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перевірки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обґрунтованості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видачі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продовження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листків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непрацездатності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особам, у тому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підставі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інформації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електронного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реєстру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листків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непрацездатності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4E15E2" w:rsidRPr="004E15E2" w:rsidRDefault="004E15E2" w:rsidP="004E15E2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bookmarkStart w:id="4" w:name="n123"/>
      <w:bookmarkEnd w:id="4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здійснення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контролю за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використанням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роботодавцями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особами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коштів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Фонду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створено 17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провадять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свою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діяльність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межах та порядку,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визначених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Законом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 Про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загальнообов’язкове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державне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</w:t>
      </w:r>
      <w:proofErr w:type="gram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іальне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обліку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знаходиться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- 240 527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страхувальників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  - 969 666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proofErr w:type="gram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- 38 355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них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інвалідністю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І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256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ІІ групи-1841 особа; ІІІ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19 344 особи.</w:t>
      </w:r>
    </w:p>
    <w:p w:rsidR="004E15E2" w:rsidRPr="00312881" w:rsidRDefault="004E15E2" w:rsidP="004E15E2">
      <w:pPr>
        <w:shd w:val="clear" w:color="auto" w:fill="F7F7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val="uk-UA"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Борис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Васильович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визначив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2020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рік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запевнив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діяльність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надалі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буде направлена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гарантій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особам,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зокрема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особам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інвалідністю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внаслідок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трудового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каліцтва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задля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якнайшвидшого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відновлення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їхнього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здоров’я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повернення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повноцінного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активного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життя</w:t>
      </w:r>
      <w:proofErr w:type="spellEnd"/>
      <w:r w:rsidR="0031288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.</w:t>
      </w:r>
    </w:p>
    <w:p w:rsidR="004E15E2" w:rsidRPr="004E15E2" w:rsidRDefault="004E15E2" w:rsidP="00312881">
      <w:pPr>
        <w:shd w:val="clear" w:color="auto" w:fill="F7F7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Микола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Житник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своїй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промові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звернув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увагу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присутніх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те,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Дніпропетровська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область – одна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найбільших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промислових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областей в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є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одним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донорів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бюджету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країни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Вагома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частина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цій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складовій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належить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гірничодобувній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галузі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де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мають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місце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шкідливі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небезпечні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умови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працівників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тому в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велика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кількість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мають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профзахворювання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Але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зауважив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діяльність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чолі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начальником Борисом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Мазуром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направлена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захист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турботу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людину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- «Людина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повинна</w:t>
      </w:r>
      <w:proofErr w:type="gram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бути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надійно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захищена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шкідливих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небезпечних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виробничих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факторів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Професійне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захворювання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виробничий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травматизм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призводять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втрати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працездатності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деяких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випадках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до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інвалідності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тому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солідарна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робота  </w:t>
      </w:r>
      <w:proofErr w:type="spellStart"/>
      <w:proofErr w:type="gram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ідприємств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лікувальних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закладів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профспілок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Фонду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повинна бути направлена на те,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щоб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зменшити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інвалідність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повернути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людину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повноцінного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життя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- сказав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Микола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Житник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та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подякував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колективу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плідну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високий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професіоналізм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 До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подяки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приєднався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Олександр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Бобков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який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побажав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керівництву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усім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працівникам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успіхів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роботі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висловив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надію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подальшу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</w:t>
      </w:r>
      <w:proofErr w:type="gram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ідну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співпрацю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4E15E2" w:rsidRDefault="004E15E2" w:rsidP="00312881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3128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proofErr w:type="gram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</w:t>
      </w:r>
      <w:proofErr w:type="gram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ітлана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Харківська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звернула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увагу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присутніх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починаючи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2001 року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обласна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лікарня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</w:t>
      </w:r>
      <w:proofErr w:type="spellEnd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Мечнікова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зокрема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профпаталогії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тісно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співпрацює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Фонду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внаслідок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нещасних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випадків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професійних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захворювань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завдяки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чому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категорія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своєчасно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отримує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якісну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висококваліфіковану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допомогу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Подякувала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особисто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Борису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Васильовичу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Мазуру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чуйне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ставлення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проблем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їм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необхідної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допомоги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активну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участь 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вирішенні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їхніх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актуальних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4E15E2" w:rsidRDefault="004E15E2" w:rsidP="00312881">
      <w:pPr>
        <w:shd w:val="clear" w:color="auto" w:fill="F7F7F7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Віталій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М’ячін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виступив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інформацією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щодо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аналізу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роботи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щодо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також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послугами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2018-2019 роки.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Зауважив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підсумками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E15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2019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отримали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4541 застрахована особа та члени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їх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сімей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суму 56,8 млн.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послугами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протягом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E15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2019 року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було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10457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суму 100,46 млн.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 тому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15E2" w:rsidRPr="004E15E2" w:rsidRDefault="00312881" w:rsidP="00312881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стаціонарне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лікування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пройшли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2141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на суму 10 млн.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4E15E2" w:rsidRPr="004E15E2" w:rsidRDefault="00312881" w:rsidP="00312881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-</w:t>
      </w:r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лікарськими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засобами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виробами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медичного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призначення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було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7866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суму 36,26 млн.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4E15E2" w:rsidRPr="004E15E2" w:rsidRDefault="00312881" w:rsidP="00312881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proofErr w:type="spellStart"/>
      <w:r w:rsidR="004E15E2" w:rsidRPr="00286E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санаторно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–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курортне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лікування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пройшли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2624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суму 36,24 млн.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4E15E2" w:rsidRPr="004E15E2" w:rsidRDefault="00312881" w:rsidP="00312881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технічними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іншими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засобами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реабілітації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було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</w:t>
      </w:r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1043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суму 4,36 млн.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4E15E2" w:rsidRPr="004E15E2" w:rsidRDefault="00312881" w:rsidP="00312881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інвалідними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колясками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було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37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терпілих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суму</w:t>
      </w:r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596,4 тис.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4E15E2" w:rsidRPr="004E15E2" w:rsidRDefault="00312881" w:rsidP="00312881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спеціальним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медичним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постійним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стороннім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видами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доглядів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також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побутовим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обслуговуванням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було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267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суму 12,5 млн.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та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4E15E2" w:rsidRDefault="00312881" w:rsidP="004E15E2">
      <w:pPr>
        <w:shd w:val="clear" w:color="auto" w:fill="F7F7F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lastRenderedPageBreak/>
        <w:t>П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очинаючи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02.01.2020 року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забезпечення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застрахованих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медичними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соціальними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послугами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проводиться за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всіма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напрямками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своєчасно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у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повному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обсязі</w:t>
      </w:r>
      <w:proofErr w:type="spellEnd"/>
      <w:r w:rsidR="004E15E2"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працюють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межах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затвердженого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тимчасового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кошторису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І квартал 2020 року.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теперішній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вже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укладено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138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проходження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особами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відновлювального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реабілітаційних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санаторно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курортних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закладів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суму 1,8 млн.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4E15E2" w:rsidRDefault="004E15E2" w:rsidP="004E15E2">
      <w:pPr>
        <w:shd w:val="clear" w:color="auto" w:fill="F7F7F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76767"/>
          <w:sz w:val="20"/>
          <w:szCs w:val="20"/>
          <w:lang w:eastAsia="ru-RU"/>
        </w:rPr>
      </w:pP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Повідомив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присутніх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управлінням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вже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погоджено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укладання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289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проходження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санаторно-курортного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лікування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суму 4,1 млн.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термінами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заїздів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початку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березня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2020,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них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вже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уклали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182 договори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загальну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суму 2,6 млн.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грн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Наголосив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забезпечення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застрахованих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осіб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також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потерпілих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виробництві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медичними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соціальними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послугами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знаходиться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постійному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управлінні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у начальника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управління</w:t>
      </w:r>
      <w:proofErr w:type="spellEnd"/>
      <w:r w:rsidR="0031288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Б.Мазура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1288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bookmarkStart w:id="5" w:name="_GoBack"/>
      <w:bookmarkEnd w:id="5"/>
      <w:proofErr w:type="spellStart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особисто</w:t>
      </w:r>
      <w:proofErr w:type="spellEnd"/>
      <w:r w:rsidRPr="004E15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15E2" w:rsidRPr="00286EE7" w:rsidRDefault="004E15E2" w:rsidP="004E15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E15E2" w:rsidRPr="00286EE7" w:rsidSect="004E15E2">
      <w:footerReference w:type="default" r:id="rId6"/>
      <w:pgSz w:w="11909" w:h="16834" w:code="9"/>
      <w:pgMar w:top="510" w:right="510" w:bottom="397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E1" w:rsidRDefault="00F75AE1" w:rsidP="004E15E2">
      <w:pPr>
        <w:spacing w:after="0" w:line="240" w:lineRule="auto"/>
      </w:pPr>
      <w:r>
        <w:separator/>
      </w:r>
    </w:p>
  </w:endnote>
  <w:endnote w:type="continuationSeparator" w:id="0">
    <w:p w:rsidR="00F75AE1" w:rsidRDefault="00F75AE1" w:rsidP="004E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5033841"/>
      <w:docPartObj>
        <w:docPartGallery w:val="Page Numbers (Bottom of Page)"/>
        <w:docPartUnique/>
      </w:docPartObj>
    </w:sdtPr>
    <w:sdtContent>
      <w:p w:rsidR="004E15E2" w:rsidRDefault="00793D25">
        <w:pPr>
          <w:pStyle w:val="a8"/>
          <w:jc w:val="right"/>
        </w:pPr>
        <w:r>
          <w:fldChar w:fldCharType="begin"/>
        </w:r>
        <w:r w:rsidR="004E15E2">
          <w:instrText>PAGE   \* MERGEFORMAT</w:instrText>
        </w:r>
        <w:r>
          <w:fldChar w:fldCharType="separate"/>
        </w:r>
        <w:r w:rsidR="00745259">
          <w:rPr>
            <w:noProof/>
          </w:rPr>
          <w:t>1</w:t>
        </w:r>
        <w:r>
          <w:fldChar w:fldCharType="end"/>
        </w:r>
      </w:p>
    </w:sdtContent>
  </w:sdt>
  <w:p w:rsidR="004E15E2" w:rsidRDefault="004E15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E1" w:rsidRDefault="00F75AE1" w:rsidP="004E15E2">
      <w:pPr>
        <w:spacing w:after="0" w:line="240" w:lineRule="auto"/>
      </w:pPr>
      <w:r>
        <w:separator/>
      </w:r>
    </w:p>
  </w:footnote>
  <w:footnote w:type="continuationSeparator" w:id="0">
    <w:p w:rsidR="00F75AE1" w:rsidRDefault="00F75AE1" w:rsidP="004E1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5E2"/>
    <w:rsid w:val="00182DF0"/>
    <w:rsid w:val="002430C5"/>
    <w:rsid w:val="00286EE7"/>
    <w:rsid w:val="00312881"/>
    <w:rsid w:val="004C4936"/>
    <w:rsid w:val="004E15E2"/>
    <w:rsid w:val="004E691F"/>
    <w:rsid w:val="00745259"/>
    <w:rsid w:val="00793D25"/>
    <w:rsid w:val="008F0700"/>
    <w:rsid w:val="00B20A1E"/>
    <w:rsid w:val="00BB1E92"/>
    <w:rsid w:val="00F75AE1"/>
    <w:rsid w:val="00F7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25"/>
  </w:style>
  <w:style w:type="paragraph" w:styleId="1">
    <w:name w:val="heading 1"/>
    <w:basedOn w:val="a"/>
    <w:link w:val="10"/>
    <w:uiPriority w:val="9"/>
    <w:qFormat/>
    <w:rsid w:val="004E1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E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1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E15E2"/>
  </w:style>
  <w:style w:type="paragraph" w:styleId="a5">
    <w:name w:val="List Paragraph"/>
    <w:basedOn w:val="a"/>
    <w:uiPriority w:val="34"/>
    <w:qFormat/>
    <w:rsid w:val="004E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5E2"/>
  </w:style>
  <w:style w:type="paragraph" w:styleId="a8">
    <w:name w:val="footer"/>
    <w:basedOn w:val="a"/>
    <w:link w:val="a9"/>
    <w:uiPriority w:val="99"/>
    <w:unhideWhenUsed/>
    <w:rsid w:val="004E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5E2"/>
  </w:style>
  <w:style w:type="paragraph" w:customStyle="1" w:styleId="rvps2">
    <w:name w:val="rvps2"/>
    <w:basedOn w:val="a"/>
    <w:rsid w:val="004E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3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2020-01-29T13:09:00Z</cp:lastPrinted>
  <dcterms:created xsi:type="dcterms:W3CDTF">2020-01-29T12:45:00Z</dcterms:created>
  <dcterms:modified xsi:type="dcterms:W3CDTF">2020-02-04T12:04:00Z</dcterms:modified>
</cp:coreProperties>
</file>