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2C" w:rsidRPr="006710E9" w:rsidRDefault="00566D2C" w:rsidP="00566D2C">
      <w:pPr>
        <w:pStyle w:val="1"/>
        <w:spacing w:before="0" w:line="276" w:lineRule="auto"/>
        <w:ind w:firstLine="567"/>
        <w:jc w:val="center"/>
        <w:rPr>
          <w:rFonts w:ascii="Arial" w:hAnsi="Arial" w:cs="Arial"/>
          <w:b/>
          <w:color w:val="auto"/>
          <w:sz w:val="24"/>
          <w:szCs w:val="24"/>
        </w:rPr>
      </w:pPr>
      <w:bookmarkStart w:id="0" w:name="_Toc157500541"/>
      <w:r w:rsidRPr="006710E9">
        <w:rPr>
          <w:rFonts w:ascii="Arial" w:hAnsi="Arial" w:cs="Arial"/>
          <w:b/>
          <w:color w:val="auto"/>
          <w:sz w:val="24"/>
          <w:szCs w:val="24"/>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bookmarkEnd w:id="0"/>
    </w:p>
    <w:p w:rsidR="00566D2C" w:rsidRPr="006710E9" w:rsidRDefault="00566D2C" w:rsidP="00566D2C">
      <w:pPr>
        <w:spacing w:after="0" w:line="276" w:lineRule="auto"/>
        <w:rPr>
          <w:rFonts w:ascii="Arial" w:hAnsi="Arial" w:cs="Arial"/>
          <w:b/>
          <w:szCs w:val="24"/>
          <w:lang w:val="uk-UA"/>
        </w:rPr>
      </w:pPr>
    </w:p>
    <w:p w:rsidR="00566D2C" w:rsidRPr="006710E9" w:rsidRDefault="00566D2C" w:rsidP="00566D2C">
      <w:pPr>
        <w:spacing w:after="0" w:line="276" w:lineRule="auto"/>
        <w:ind w:firstLine="567"/>
        <w:contextualSpacing/>
        <w:jc w:val="both"/>
        <w:rPr>
          <w:rFonts w:ascii="Arial" w:hAnsi="Arial" w:cs="Arial"/>
          <w:b/>
          <w:bCs/>
          <w:szCs w:val="24"/>
          <w:lang w:val="uk-UA"/>
        </w:rPr>
      </w:pPr>
      <w:r w:rsidRPr="006710E9">
        <w:rPr>
          <w:rFonts w:ascii="Arial" w:hAnsi="Arial" w:cs="Arial"/>
          <w:b/>
          <w:bCs/>
          <w:szCs w:val="24"/>
          <w:lang w:val="uk-UA"/>
        </w:rPr>
        <w:t>Організація моніторингу наслідків виконання МПУВ для довкілля</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Моніторинг наслідків виконання МПУВ для довкілля доцільно інтегрувати у загальний процес моніторингу виконання МПУВ шляхом створення та підтримання загальної системи моніторингу реалізації МПУВ та наслідків для довкілля.</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Моніторинг наслідків виконання МПУВ для довкілля повинен включати наступні завдання:</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w:t>
      </w:r>
      <w:r w:rsidRPr="006710E9">
        <w:rPr>
          <w:rFonts w:ascii="Arial" w:hAnsi="Arial" w:cs="Arial"/>
          <w:bCs/>
          <w:szCs w:val="24"/>
          <w:lang w:val="uk-UA"/>
        </w:rPr>
        <w:tab/>
        <w:t>аналіз наслідків для довкілля, зумовлених реалізацією заходів МПУВ;</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w:t>
      </w:r>
      <w:r w:rsidRPr="006710E9">
        <w:rPr>
          <w:rFonts w:ascii="Arial" w:hAnsi="Arial" w:cs="Arial"/>
          <w:bCs/>
          <w:szCs w:val="24"/>
          <w:lang w:val="uk-UA"/>
        </w:rPr>
        <w:tab/>
        <w:t>аналіз впливів на довкілля, об’єктів інфраструктури, створених в рамках реалізації МПУВ;</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w:t>
      </w:r>
      <w:r w:rsidRPr="006710E9">
        <w:rPr>
          <w:rFonts w:ascii="Arial" w:hAnsi="Arial" w:cs="Arial"/>
          <w:bCs/>
          <w:szCs w:val="24"/>
          <w:lang w:val="uk-UA"/>
        </w:rPr>
        <w:tab/>
        <w:t>аналіз виникнення екологічних проблем, що мають відношення до сфери управління відходами та не передбачених МПУВ та звітом про СЕО.</w:t>
      </w:r>
    </w:p>
    <w:p w:rsidR="00566D2C" w:rsidRPr="006710E9" w:rsidRDefault="00566D2C" w:rsidP="00566D2C">
      <w:pPr>
        <w:spacing w:after="0" w:line="276" w:lineRule="auto"/>
        <w:ind w:firstLine="567"/>
        <w:contextualSpacing/>
        <w:jc w:val="both"/>
        <w:rPr>
          <w:rFonts w:ascii="Arial" w:hAnsi="Arial" w:cs="Arial"/>
          <w:bCs/>
          <w:szCs w:val="24"/>
          <w:lang w:val="uk-UA"/>
        </w:rPr>
      </w:pPr>
    </w:p>
    <w:p w:rsidR="00566D2C" w:rsidRPr="006710E9" w:rsidRDefault="00566D2C" w:rsidP="00566D2C">
      <w:pPr>
        <w:spacing w:after="0" w:line="276" w:lineRule="auto"/>
        <w:ind w:firstLine="567"/>
        <w:contextualSpacing/>
        <w:jc w:val="both"/>
        <w:rPr>
          <w:rFonts w:ascii="Arial" w:hAnsi="Arial" w:cs="Arial"/>
          <w:b/>
          <w:bCs/>
          <w:iCs/>
          <w:szCs w:val="24"/>
          <w:lang w:val="uk-UA"/>
        </w:rPr>
      </w:pPr>
      <w:r w:rsidRPr="006710E9">
        <w:rPr>
          <w:rFonts w:ascii="Arial" w:hAnsi="Arial" w:cs="Arial"/>
          <w:b/>
          <w:bCs/>
          <w:iCs/>
          <w:szCs w:val="24"/>
          <w:lang w:val="uk-UA"/>
        </w:rPr>
        <w:t>Відповідальність за організацію та підтримання системи моніторингу</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На початковому етапі реалізації МПУВ доцільно закріпити відповідальність за виконання моніторингу. Кожним структурним підрозділом, що буде визначений відповідальним за моніторинг, у межах своєї компетенції розробляється план моніторингу та встановлюється процедура виконання моніторингу.</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Дані моніторингу узагальнюються на рівні кожного з структурних підрозділів, а також зводяться в єдиний звіт з моніторингу, що охоплює усі напрями діяльності.</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Виконання моніторингу включає:</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w:t>
      </w:r>
      <w:r w:rsidRPr="006710E9">
        <w:rPr>
          <w:rFonts w:ascii="Arial" w:hAnsi="Arial" w:cs="Arial"/>
          <w:bCs/>
          <w:szCs w:val="24"/>
          <w:lang w:val="uk-UA"/>
        </w:rPr>
        <w:tab/>
        <w:t>збір даних (з визначених джерел та встановленою періодичністю);</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w:t>
      </w:r>
      <w:r w:rsidRPr="006710E9">
        <w:rPr>
          <w:rFonts w:ascii="Arial" w:hAnsi="Arial" w:cs="Arial"/>
          <w:bCs/>
          <w:szCs w:val="24"/>
          <w:lang w:val="uk-UA"/>
        </w:rPr>
        <w:tab/>
        <w:t>оброблення даних та аналіз результатів;</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w:t>
      </w:r>
      <w:r w:rsidRPr="006710E9">
        <w:rPr>
          <w:rFonts w:ascii="Arial" w:hAnsi="Arial" w:cs="Arial"/>
          <w:bCs/>
          <w:szCs w:val="24"/>
          <w:lang w:val="uk-UA"/>
        </w:rPr>
        <w:tab/>
        <w:t>формування баз даних, що включають вихідні дані та результати їх опрацювання;</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 прийняття рішення за результатами аналізу.</w:t>
      </w:r>
    </w:p>
    <w:p w:rsidR="00566D2C" w:rsidRPr="006710E9" w:rsidRDefault="00566D2C" w:rsidP="00566D2C">
      <w:pPr>
        <w:spacing w:after="0" w:line="276" w:lineRule="auto"/>
        <w:ind w:firstLine="567"/>
        <w:contextualSpacing/>
        <w:jc w:val="both"/>
        <w:rPr>
          <w:rFonts w:ascii="Arial" w:hAnsi="Arial" w:cs="Arial"/>
          <w:bCs/>
          <w:szCs w:val="24"/>
          <w:lang w:val="uk-UA"/>
        </w:rPr>
      </w:pPr>
    </w:p>
    <w:p w:rsidR="00566D2C" w:rsidRPr="006710E9" w:rsidRDefault="00566D2C" w:rsidP="00566D2C">
      <w:pPr>
        <w:spacing w:after="0" w:line="276" w:lineRule="auto"/>
        <w:ind w:firstLine="567"/>
        <w:contextualSpacing/>
        <w:jc w:val="both"/>
        <w:rPr>
          <w:rFonts w:ascii="Arial" w:hAnsi="Arial" w:cs="Arial"/>
          <w:b/>
          <w:bCs/>
          <w:szCs w:val="24"/>
          <w:lang w:val="uk-UA"/>
        </w:rPr>
      </w:pPr>
      <w:r w:rsidRPr="006710E9">
        <w:rPr>
          <w:rFonts w:ascii="Arial" w:hAnsi="Arial" w:cs="Arial"/>
          <w:b/>
          <w:bCs/>
          <w:szCs w:val="24"/>
          <w:lang w:val="uk-UA"/>
        </w:rPr>
        <w:t>Аналіз наслідків для довкілля, зумовлених реалізацією заходів МПУВ</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По суті моніторинг реалізації МПУВ включає моніторинг реалізації заходів, спрямованих на мінімізацію навантаження на довкілля, зумовленого утворенням відходів, що є метою МПУВ.</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Моніторинг базується на розгляді індикаторів (в даному випадку виконання цільових показників МПУВ) та аналізі досягнення запланованих цілей.</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Моніторинг екологічних індикаторів ефективності МПУВ є важливою формою контролю того, який фактичний вплив на довкілля матиме виконання МПУВ. Слід зазначити, що окремі індикатори дозволяють оцінити прямі наслідки впливу реалізації МПУВ на довкілля, окремі - опосередковані, через розвиток інституційної структури регіональної системи управління відходами.</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Для якісного проведення моніторингу необхідне забезпечення регулярності збору моніторингових даних за визначеними індикаторами та їх аналіз для врахування під час прийняття рішень щодо планування розвитку в майбутньому.</w:t>
      </w:r>
    </w:p>
    <w:p w:rsidR="00566D2C" w:rsidRPr="006710E9" w:rsidRDefault="00566D2C" w:rsidP="00566D2C">
      <w:pPr>
        <w:spacing w:line="276" w:lineRule="auto"/>
        <w:ind w:firstLine="567"/>
        <w:rPr>
          <w:rFonts w:ascii="Arial" w:hAnsi="Arial" w:cs="Arial"/>
          <w:szCs w:val="24"/>
          <w:lang w:val="uk-UA"/>
        </w:rPr>
      </w:pPr>
      <w:r w:rsidRPr="006710E9">
        <w:rPr>
          <w:rFonts w:ascii="Arial" w:hAnsi="Arial" w:cs="Arial"/>
          <w:szCs w:val="24"/>
          <w:lang w:val="uk-UA"/>
        </w:rPr>
        <w:t>Опис індикаторів, які підлягають моніторингу приведені в таблиці 9.1.</w:t>
      </w:r>
    </w:p>
    <w:p w:rsidR="00566D2C" w:rsidRPr="006710E9" w:rsidRDefault="00566D2C" w:rsidP="00566D2C">
      <w:pPr>
        <w:spacing w:after="0"/>
        <w:ind w:firstLine="567"/>
        <w:jc w:val="right"/>
        <w:rPr>
          <w:rFonts w:ascii="Arial" w:hAnsi="Arial" w:cs="Arial"/>
          <w:b/>
          <w:bCs/>
          <w:szCs w:val="24"/>
          <w:lang w:val="uk-UA"/>
        </w:rPr>
      </w:pPr>
      <w:bookmarkStart w:id="1" w:name="_Hlk130416635"/>
      <w:r w:rsidRPr="006710E9">
        <w:rPr>
          <w:rFonts w:ascii="Arial" w:hAnsi="Arial" w:cs="Arial"/>
          <w:b/>
          <w:bCs/>
          <w:szCs w:val="24"/>
          <w:lang w:val="uk-UA"/>
        </w:rPr>
        <w:lastRenderedPageBreak/>
        <w:t xml:space="preserve">Таблиця 9.1 </w:t>
      </w:r>
    </w:p>
    <w:p w:rsidR="00566D2C" w:rsidRPr="006710E9" w:rsidRDefault="00566D2C" w:rsidP="00566D2C">
      <w:pPr>
        <w:spacing w:after="0"/>
        <w:ind w:firstLine="567"/>
        <w:jc w:val="center"/>
        <w:rPr>
          <w:rFonts w:ascii="Arial" w:hAnsi="Arial" w:cs="Arial"/>
          <w:b/>
          <w:bCs/>
          <w:szCs w:val="24"/>
          <w:lang w:val="uk-UA"/>
        </w:rPr>
      </w:pPr>
      <w:r w:rsidRPr="006710E9">
        <w:rPr>
          <w:rFonts w:ascii="Arial" w:hAnsi="Arial" w:cs="Arial"/>
          <w:b/>
          <w:bCs/>
          <w:szCs w:val="24"/>
          <w:lang w:val="uk-UA"/>
        </w:rPr>
        <w:t xml:space="preserve">Комплекс індикаторів моніторингу виконання МПУВ </w:t>
      </w:r>
      <w:proofErr w:type="spellStart"/>
      <w:r>
        <w:rPr>
          <w:rFonts w:ascii="Arial" w:hAnsi="Arial" w:cs="Arial"/>
          <w:b/>
          <w:bCs/>
          <w:szCs w:val="24"/>
          <w:lang w:val="uk-UA"/>
        </w:rPr>
        <w:t>Девладівської</w:t>
      </w:r>
      <w:proofErr w:type="spellEnd"/>
      <w:r>
        <w:rPr>
          <w:rFonts w:ascii="Arial" w:hAnsi="Arial" w:cs="Arial"/>
          <w:b/>
          <w:bCs/>
          <w:szCs w:val="24"/>
          <w:lang w:val="uk-UA"/>
        </w:rPr>
        <w:t xml:space="preserve"> СТГ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1407"/>
        <w:gridCol w:w="36"/>
        <w:gridCol w:w="4750"/>
        <w:gridCol w:w="1292"/>
        <w:gridCol w:w="7"/>
        <w:gridCol w:w="1836"/>
        <w:gridCol w:w="8"/>
        <w:gridCol w:w="9"/>
      </w:tblGrid>
      <w:tr w:rsidR="00566D2C" w:rsidRPr="006710E9" w:rsidTr="00846AED">
        <w:trPr>
          <w:gridAfter w:val="2"/>
          <w:wAfter w:w="19" w:type="dxa"/>
          <w:trHeight w:val="20"/>
          <w:jc w:val="center"/>
        </w:trPr>
        <w:tc>
          <w:tcPr>
            <w:tcW w:w="1466" w:type="dxa"/>
            <w:gridSpan w:val="2"/>
            <w:shd w:val="clear" w:color="auto" w:fill="auto"/>
          </w:tcPr>
          <w:bookmarkEnd w:id="1"/>
          <w:p w:rsidR="00566D2C" w:rsidRPr="006710E9" w:rsidRDefault="00566D2C" w:rsidP="00846AED">
            <w:pPr>
              <w:spacing w:after="0" w:line="240" w:lineRule="auto"/>
              <w:jc w:val="center"/>
              <w:rPr>
                <w:rFonts w:ascii="Arial" w:hAnsi="Arial" w:cs="Arial"/>
                <w:b/>
                <w:bCs/>
                <w:color w:val="000000" w:themeColor="text1"/>
                <w:szCs w:val="24"/>
                <w:lang w:val="uk-UA"/>
              </w:rPr>
            </w:pPr>
            <w:r w:rsidRPr="006710E9">
              <w:rPr>
                <w:rFonts w:ascii="Arial" w:hAnsi="Arial" w:cs="Arial"/>
                <w:b/>
                <w:bCs/>
                <w:color w:val="000000" w:themeColor="text1"/>
                <w:szCs w:val="24"/>
                <w:lang w:val="uk-UA"/>
              </w:rPr>
              <w:t>№ з/п індикатора МПУВ</w:t>
            </w:r>
          </w:p>
        </w:tc>
        <w:tc>
          <w:tcPr>
            <w:tcW w:w="5050" w:type="dxa"/>
            <w:shd w:val="clear" w:color="auto" w:fill="auto"/>
            <w:hideMark/>
          </w:tcPr>
          <w:p w:rsidR="00566D2C" w:rsidRPr="006710E9" w:rsidRDefault="00566D2C" w:rsidP="00846AED">
            <w:pPr>
              <w:spacing w:after="0" w:line="240" w:lineRule="auto"/>
              <w:jc w:val="center"/>
              <w:rPr>
                <w:rFonts w:ascii="Arial" w:hAnsi="Arial" w:cs="Arial"/>
                <w:b/>
                <w:bCs/>
                <w:color w:val="000000" w:themeColor="text1"/>
                <w:szCs w:val="24"/>
                <w:lang w:val="uk-UA"/>
              </w:rPr>
            </w:pPr>
            <w:r w:rsidRPr="006710E9">
              <w:rPr>
                <w:rFonts w:ascii="Arial" w:hAnsi="Arial" w:cs="Arial"/>
                <w:b/>
                <w:bCs/>
                <w:color w:val="000000" w:themeColor="text1"/>
                <w:szCs w:val="24"/>
                <w:lang w:val="uk-UA"/>
              </w:rPr>
              <w:t>Назва індикатора</w:t>
            </w:r>
          </w:p>
        </w:tc>
        <w:tc>
          <w:tcPr>
            <w:tcW w:w="1311" w:type="dxa"/>
            <w:shd w:val="clear" w:color="auto" w:fill="auto"/>
            <w:hideMark/>
          </w:tcPr>
          <w:p w:rsidR="00566D2C" w:rsidRPr="006710E9" w:rsidRDefault="00566D2C" w:rsidP="00846AED">
            <w:pPr>
              <w:spacing w:after="0" w:line="240" w:lineRule="auto"/>
              <w:jc w:val="center"/>
              <w:rPr>
                <w:rFonts w:ascii="Arial" w:hAnsi="Arial" w:cs="Arial"/>
                <w:b/>
                <w:bCs/>
                <w:color w:val="000000" w:themeColor="text1"/>
                <w:szCs w:val="24"/>
                <w:lang w:val="uk-UA"/>
              </w:rPr>
            </w:pPr>
            <w:r w:rsidRPr="006710E9">
              <w:rPr>
                <w:rFonts w:ascii="Arial" w:hAnsi="Arial" w:cs="Arial"/>
                <w:b/>
                <w:bCs/>
                <w:color w:val="000000" w:themeColor="text1"/>
                <w:szCs w:val="24"/>
                <w:lang w:val="uk-UA"/>
              </w:rPr>
              <w:t>Одиниця виміру</w:t>
            </w:r>
          </w:p>
        </w:tc>
        <w:tc>
          <w:tcPr>
            <w:tcW w:w="1865" w:type="dxa"/>
            <w:gridSpan w:val="2"/>
            <w:shd w:val="clear" w:color="auto" w:fill="auto"/>
          </w:tcPr>
          <w:p w:rsidR="00566D2C" w:rsidRPr="006710E9" w:rsidRDefault="00566D2C" w:rsidP="00846AED">
            <w:pPr>
              <w:spacing w:after="0" w:line="240" w:lineRule="auto"/>
              <w:jc w:val="center"/>
              <w:rPr>
                <w:rFonts w:ascii="Arial" w:hAnsi="Arial" w:cs="Arial"/>
                <w:b/>
                <w:bCs/>
                <w:color w:val="000000" w:themeColor="text1"/>
                <w:szCs w:val="24"/>
                <w:lang w:val="uk-UA"/>
              </w:rPr>
            </w:pPr>
            <w:r w:rsidRPr="006710E9">
              <w:rPr>
                <w:rFonts w:ascii="Arial" w:hAnsi="Arial" w:cs="Arial"/>
                <w:b/>
                <w:bCs/>
                <w:color w:val="000000" w:themeColor="text1"/>
                <w:szCs w:val="24"/>
                <w:lang w:val="uk-UA"/>
              </w:rPr>
              <w:t xml:space="preserve">Періодичність контролю </w:t>
            </w:r>
          </w:p>
        </w:tc>
      </w:tr>
      <w:tr w:rsidR="00566D2C" w:rsidRPr="006710E9" w:rsidTr="00846AED">
        <w:trPr>
          <w:gridAfter w:val="1"/>
          <w:wAfter w:w="10" w:type="dxa"/>
          <w:trHeight w:val="20"/>
          <w:jc w:val="center"/>
        </w:trPr>
        <w:tc>
          <w:tcPr>
            <w:tcW w:w="9701" w:type="dxa"/>
            <w:gridSpan w:val="7"/>
            <w:shd w:val="clear" w:color="auto" w:fill="auto"/>
          </w:tcPr>
          <w:p w:rsidR="00566D2C" w:rsidRPr="006710E9" w:rsidRDefault="00566D2C" w:rsidP="00846AED">
            <w:pPr>
              <w:spacing w:after="0" w:line="240" w:lineRule="auto"/>
              <w:jc w:val="center"/>
              <w:rPr>
                <w:rFonts w:ascii="Arial" w:hAnsi="Arial" w:cs="Arial"/>
                <w:b/>
                <w:bCs/>
                <w:szCs w:val="24"/>
                <w:lang w:val="uk-UA"/>
              </w:rPr>
            </w:pPr>
            <w:r w:rsidRPr="006710E9">
              <w:rPr>
                <w:rFonts w:ascii="Arial" w:hAnsi="Arial" w:cs="Arial"/>
                <w:b/>
                <w:bCs/>
                <w:szCs w:val="24"/>
                <w:lang w:val="uk-UA"/>
              </w:rPr>
              <w:t>Загальна діяльність</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w:t>
            </w:r>
          </w:p>
        </w:tc>
        <w:tc>
          <w:tcPr>
            <w:tcW w:w="5050" w:type="dxa"/>
            <w:shd w:val="clear" w:color="auto" w:fill="auto"/>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eastAsia="uk-UA"/>
              </w:rPr>
              <w:t xml:space="preserve">Створено Робочу групу в </w:t>
            </w:r>
            <w:r>
              <w:rPr>
                <w:rFonts w:ascii="Arial" w:hAnsi="Arial" w:cs="Arial"/>
                <w:szCs w:val="24"/>
                <w:lang w:val="uk-UA" w:eastAsia="uk-UA"/>
              </w:rPr>
              <w:t>Криворізькому</w:t>
            </w:r>
            <w:r w:rsidRPr="006710E9">
              <w:rPr>
                <w:rFonts w:ascii="Arial" w:hAnsi="Arial" w:cs="Arial"/>
                <w:szCs w:val="24"/>
                <w:lang w:val="uk-UA" w:eastAsia="uk-UA"/>
              </w:rPr>
              <w:t xml:space="preserve"> </w:t>
            </w:r>
            <w:proofErr w:type="spellStart"/>
            <w:r w:rsidRPr="006710E9">
              <w:rPr>
                <w:rFonts w:ascii="Arial" w:hAnsi="Arial" w:cs="Arial"/>
                <w:szCs w:val="24"/>
                <w:lang w:val="uk-UA" w:eastAsia="uk-UA"/>
              </w:rPr>
              <w:t>підкластері</w:t>
            </w:r>
            <w:proofErr w:type="spellEnd"/>
            <w:r w:rsidRPr="006710E9">
              <w:rPr>
                <w:rFonts w:ascii="Arial" w:hAnsi="Arial" w:cs="Arial"/>
                <w:szCs w:val="24"/>
                <w:lang w:val="uk-UA" w:eastAsia="uk-UA"/>
              </w:rPr>
              <w:t xml:space="preserve"> з управління  відходами</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група</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на початку реалізації МПУВ</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w:t>
            </w:r>
          </w:p>
        </w:tc>
        <w:tc>
          <w:tcPr>
            <w:tcW w:w="5050" w:type="dxa"/>
            <w:shd w:val="clear" w:color="auto" w:fill="auto"/>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eastAsia="uk-UA"/>
              </w:rPr>
              <w:t>Формування щорічно звітів про виконання МПУВ</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звіт</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w:t>
            </w:r>
          </w:p>
        </w:tc>
        <w:tc>
          <w:tcPr>
            <w:tcW w:w="5050" w:type="dxa"/>
            <w:shd w:val="clear" w:color="auto" w:fill="auto"/>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 xml:space="preserve">Укладено договір про співпрацю територіальних громад </w:t>
            </w:r>
            <w:r>
              <w:rPr>
                <w:rFonts w:ascii="Arial" w:hAnsi="Arial" w:cs="Arial"/>
                <w:szCs w:val="24"/>
                <w:lang w:val="uk-UA" w:eastAsia="uk-UA"/>
              </w:rPr>
              <w:t>Криворізькому</w:t>
            </w:r>
            <w:r w:rsidRPr="006710E9">
              <w:rPr>
                <w:rFonts w:ascii="Arial" w:hAnsi="Arial" w:cs="Arial"/>
                <w:szCs w:val="24"/>
                <w:lang w:val="uk-UA" w:eastAsia="uk-UA"/>
              </w:rPr>
              <w:t xml:space="preserve"> </w:t>
            </w:r>
            <w:proofErr w:type="spellStart"/>
            <w:r w:rsidRPr="006710E9">
              <w:rPr>
                <w:rFonts w:ascii="Arial" w:hAnsi="Arial" w:cs="Arial"/>
                <w:szCs w:val="24"/>
                <w:lang w:val="uk-UA" w:eastAsia="uk-UA"/>
              </w:rPr>
              <w:t>підкластеру</w:t>
            </w:r>
            <w:proofErr w:type="spellEnd"/>
            <w:r w:rsidRPr="006710E9">
              <w:rPr>
                <w:rFonts w:ascii="Arial" w:hAnsi="Arial" w:cs="Arial"/>
                <w:szCs w:val="24"/>
                <w:lang w:val="uk-UA" w:eastAsia="uk-UA"/>
              </w:rPr>
              <w:t xml:space="preserve"> з управління  відходами</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на початку реалізації МПУВ</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w:t>
            </w:r>
          </w:p>
        </w:tc>
        <w:tc>
          <w:tcPr>
            <w:tcW w:w="5050" w:type="dxa"/>
            <w:shd w:val="clear" w:color="auto" w:fill="auto"/>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 xml:space="preserve">Кількість проведених тренінгів з питань управління відходами /кількість залучених до тренінгів й сертифікованих фахівців з адміністрації громади,  фахівців промислових підприємств й </w:t>
            </w:r>
            <w:r w:rsidRPr="006710E9">
              <w:rPr>
                <w:rFonts w:ascii="Arial" w:hAnsi="Arial" w:cs="Arial"/>
                <w:color w:val="000000" w:themeColor="text1"/>
                <w:szCs w:val="24"/>
                <w:lang w:val="uk-UA"/>
              </w:rPr>
              <w:t>закладів охорони здоров’я,</w:t>
            </w:r>
            <w:r w:rsidRPr="006710E9">
              <w:rPr>
                <w:rFonts w:ascii="Arial" w:hAnsi="Arial" w:cs="Arial"/>
                <w:szCs w:val="24"/>
                <w:lang w:val="uk-UA"/>
              </w:rPr>
              <w:t xml:space="preserve"> громадських організацій</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кількість залучених</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5</w:t>
            </w:r>
          </w:p>
        </w:tc>
        <w:tc>
          <w:tcPr>
            <w:tcW w:w="5050" w:type="dxa"/>
            <w:shd w:val="clear" w:color="auto" w:fill="auto"/>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Кількість проведених інформаційно-просвітницьких кампаній з питань управління відходами</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6</w:t>
            </w:r>
          </w:p>
        </w:tc>
        <w:tc>
          <w:tcPr>
            <w:tcW w:w="5050" w:type="dxa"/>
            <w:shd w:val="clear" w:color="auto" w:fill="auto"/>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Проведені навчальні заходи щодо поводження з відходами у шкільних та дошкільних навчальних закладах</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bCs/>
                <w:szCs w:val="24"/>
                <w:lang w:val="uk-UA"/>
              </w:rPr>
            </w:pPr>
            <w:r w:rsidRPr="006710E9">
              <w:rPr>
                <w:rFonts w:ascii="Arial" w:hAnsi="Arial" w:cs="Arial"/>
                <w:b/>
                <w:bCs/>
                <w:szCs w:val="24"/>
                <w:lang w:val="uk-UA"/>
              </w:rPr>
              <w:t>Управління побутовими відходами</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7</w:t>
            </w:r>
          </w:p>
        </w:tc>
        <w:tc>
          <w:tcPr>
            <w:tcW w:w="5050" w:type="dxa"/>
            <w:shd w:val="clear" w:color="auto" w:fill="auto"/>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Проведено дослідження складу побутових відходів</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на початку реалізації МПУВ</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8</w:t>
            </w:r>
          </w:p>
        </w:tc>
        <w:tc>
          <w:tcPr>
            <w:tcW w:w="5050" w:type="dxa"/>
            <w:shd w:val="clear" w:color="auto" w:fill="auto"/>
          </w:tcPr>
          <w:p w:rsidR="00566D2C" w:rsidRPr="006710E9" w:rsidRDefault="00566D2C" w:rsidP="00846AED">
            <w:pPr>
              <w:spacing w:after="0" w:line="240" w:lineRule="auto"/>
              <w:rPr>
                <w:rFonts w:ascii="Arial" w:hAnsi="Arial" w:cs="Arial"/>
                <w:szCs w:val="24"/>
                <w:lang w:val="uk-UA" w:eastAsia="uk-UA"/>
              </w:rPr>
            </w:pPr>
            <w:r w:rsidRPr="006710E9">
              <w:rPr>
                <w:rFonts w:ascii="Arial" w:hAnsi="Arial" w:cs="Arial"/>
                <w:szCs w:val="24"/>
                <w:lang w:val="uk-UA" w:eastAsia="uk-UA"/>
              </w:rPr>
              <w:t xml:space="preserve">Оновлено реєстр (проведено інвентаризацію) існуючих полігонів та звалищ побутових відходів  </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реєстр</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на початку реалізації МПУВ, щорічне корегування</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9</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Кількість домогосподарств, що здійснюють домашнє компостування</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одиниць  </w:t>
            </w:r>
          </w:p>
          <w:p w:rsidR="00566D2C" w:rsidRPr="006710E9" w:rsidRDefault="00566D2C" w:rsidP="00846AED">
            <w:pPr>
              <w:spacing w:after="0" w:line="240" w:lineRule="auto"/>
              <w:jc w:val="center"/>
              <w:rPr>
                <w:rFonts w:ascii="Arial" w:hAnsi="Arial" w:cs="Arial"/>
                <w:szCs w:val="24"/>
                <w:lang w:val="uk-UA"/>
              </w:rPr>
            </w:pP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10</w:t>
            </w:r>
          </w:p>
        </w:tc>
        <w:tc>
          <w:tcPr>
            <w:tcW w:w="5050" w:type="dxa"/>
            <w:shd w:val="clear" w:color="auto" w:fill="auto"/>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Розроблені та реалізовані проектні ініціативи з питань управління побутовими відходами</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11</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color w:val="000000" w:themeColor="text1"/>
                <w:szCs w:val="24"/>
                <w:lang w:val="uk-UA" w:eastAsia="uk-UA"/>
              </w:rPr>
              <w:t>Створено майданчик для компостування окремо зібраних зелених відходів з громадських парків і скверів</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одиниць / </w:t>
            </w:r>
          </w:p>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12</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 xml:space="preserve">Кількість зібраних побутових відходів </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65" w:type="dxa"/>
            <w:gridSpan w:val="2"/>
          </w:tcPr>
          <w:p w:rsidR="00566D2C" w:rsidRPr="006710E9" w:rsidRDefault="00566D2C" w:rsidP="00846AED">
            <w:pPr>
              <w:spacing w:after="0" w:line="240" w:lineRule="auto"/>
              <w:jc w:val="center"/>
              <w:rPr>
                <w:rFonts w:ascii="Arial" w:hAnsi="Arial" w:cs="Arial"/>
                <w:szCs w:val="24"/>
                <w:highlight w:val="yellow"/>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13</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Охоплення населення послугами зі збирання та перевезення побутових відходів</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від загальної кількості населення</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14</w:t>
            </w:r>
          </w:p>
        </w:tc>
        <w:tc>
          <w:tcPr>
            <w:tcW w:w="5050" w:type="dxa"/>
            <w:shd w:val="clear" w:color="auto" w:fill="auto"/>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Кількість контейнерів для унітарного / роздільного збирання</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lastRenderedPageBreak/>
              <w:t>15</w:t>
            </w:r>
          </w:p>
        </w:tc>
        <w:tc>
          <w:tcPr>
            <w:tcW w:w="5050" w:type="dxa"/>
            <w:shd w:val="clear" w:color="auto" w:fill="auto"/>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rPr>
              <w:t>Кількість сміттєвозів для унітарного / роздільного збирання</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16</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Кількість побутових відходів, що направлена для видалення на полігони/звалища побутових відходів</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17</w:t>
            </w:r>
          </w:p>
        </w:tc>
        <w:tc>
          <w:tcPr>
            <w:tcW w:w="5050" w:type="dxa"/>
            <w:shd w:val="clear" w:color="auto" w:fill="auto"/>
          </w:tcPr>
          <w:p w:rsidR="00566D2C" w:rsidRPr="006710E9" w:rsidRDefault="00566D2C" w:rsidP="00846AED">
            <w:pPr>
              <w:spacing w:after="0" w:line="240" w:lineRule="auto"/>
              <w:rPr>
                <w:rFonts w:ascii="Arial" w:hAnsi="Arial" w:cs="Arial"/>
                <w:szCs w:val="24"/>
                <w:lang w:val="uk-UA" w:eastAsia="uk-UA"/>
              </w:rPr>
            </w:pPr>
            <w:r w:rsidRPr="006710E9">
              <w:rPr>
                <w:rFonts w:ascii="Arial" w:hAnsi="Arial" w:cs="Arial"/>
                <w:szCs w:val="24"/>
                <w:lang w:val="uk-UA" w:eastAsia="uk-UA"/>
              </w:rPr>
              <w:t xml:space="preserve">Кількість роздільно зібраних побутових відходів, що підлягають </w:t>
            </w:r>
            <w:proofErr w:type="spellStart"/>
            <w:r w:rsidRPr="006710E9">
              <w:rPr>
                <w:rFonts w:ascii="Arial" w:hAnsi="Arial" w:cs="Arial"/>
                <w:szCs w:val="24"/>
                <w:lang w:val="uk-UA" w:eastAsia="uk-UA"/>
              </w:rPr>
              <w:t>рециклінгу</w:t>
            </w:r>
            <w:proofErr w:type="spellEnd"/>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proofErr w:type="spellStart"/>
            <w:r w:rsidRPr="006710E9">
              <w:rPr>
                <w:rFonts w:ascii="Arial" w:hAnsi="Arial" w:cs="Arial"/>
                <w:szCs w:val="24"/>
                <w:lang w:val="uk-UA"/>
              </w:rPr>
              <w:t>тонн</w:t>
            </w:r>
            <w:proofErr w:type="spellEnd"/>
            <w:r w:rsidRPr="006710E9">
              <w:rPr>
                <w:rFonts w:ascii="Arial" w:hAnsi="Arial" w:cs="Arial"/>
                <w:szCs w:val="24"/>
                <w:lang w:val="uk-UA"/>
              </w:rPr>
              <w:t xml:space="preserve"> на особу на рік</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18</w:t>
            </w:r>
          </w:p>
        </w:tc>
        <w:tc>
          <w:tcPr>
            <w:tcW w:w="5050" w:type="dxa"/>
            <w:shd w:val="clear" w:color="auto" w:fill="auto"/>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 xml:space="preserve">Створено потужності з оброблення побутових відходів для Пирятинського </w:t>
            </w:r>
            <w:proofErr w:type="spellStart"/>
            <w:r w:rsidRPr="006710E9">
              <w:rPr>
                <w:rFonts w:ascii="Arial" w:hAnsi="Arial" w:cs="Arial"/>
                <w:szCs w:val="24"/>
                <w:lang w:val="uk-UA" w:eastAsia="uk-UA"/>
              </w:rPr>
              <w:t>підкластеру</w:t>
            </w:r>
            <w:proofErr w:type="spellEnd"/>
            <w:r w:rsidRPr="006710E9">
              <w:rPr>
                <w:rFonts w:ascii="Arial" w:hAnsi="Arial" w:cs="Arial"/>
                <w:szCs w:val="24"/>
                <w:lang w:val="uk-UA" w:eastAsia="uk-UA"/>
              </w:rPr>
              <w:t>: техніко-економічне обґрунтування, проектування, будівництво сортувального заводу</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одиниць / </w:t>
            </w:r>
          </w:p>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19</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eastAsia="Times New Roman" w:hAnsi="Arial" w:cs="Arial"/>
                <w:szCs w:val="24"/>
                <w:lang w:val="uk-UA"/>
              </w:rPr>
              <w:t>Підготовлено план  закриття  для існуючих звалищ ПВ</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20</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Створено потужності з оброблення побутових відходів для</w:t>
            </w:r>
            <w:r w:rsidRPr="006710E9">
              <w:rPr>
                <w:rFonts w:ascii="Arial" w:hAnsi="Arial" w:cs="Arial"/>
                <w:b/>
                <w:bCs/>
                <w:szCs w:val="24"/>
                <w:lang w:val="uk-UA" w:eastAsia="uk-UA"/>
              </w:rPr>
              <w:t xml:space="preserve"> </w:t>
            </w:r>
            <w:r w:rsidRPr="006710E9">
              <w:rPr>
                <w:rFonts w:ascii="Arial" w:hAnsi="Arial" w:cs="Arial"/>
                <w:szCs w:val="24"/>
                <w:lang w:val="uk-UA" w:eastAsia="uk-UA"/>
              </w:rPr>
              <w:t xml:space="preserve">Пирятинського </w:t>
            </w:r>
            <w:proofErr w:type="spellStart"/>
            <w:r w:rsidRPr="006710E9">
              <w:rPr>
                <w:rFonts w:ascii="Arial" w:hAnsi="Arial" w:cs="Arial"/>
                <w:szCs w:val="24"/>
                <w:lang w:val="uk-UA" w:eastAsia="uk-UA"/>
              </w:rPr>
              <w:t>підкластеру</w:t>
            </w:r>
            <w:proofErr w:type="spellEnd"/>
            <w:r w:rsidRPr="006710E9">
              <w:rPr>
                <w:rFonts w:ascii="Arial" w:hAnsi="Arial" w:cs="Arial"/>
                <w:szCs w:val="24"/>
                <w:lang w:val="uk-UA" w:eastAsia="uk-UA"/>
              </w:rPr>
              <w:t>: техніко-економічне обґрунтуванням, проектування, будівництво регіонального полігону</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одиниць / </w:t>
            </w:r>
          </w:p>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21</w:t>
            </w:r>
          </w:p>
        </w:tc>
        <w:tc>
          <w:tcPr>
            <w:tcW w:w="5050" w:type="dxa"/>
            <w:shd w:val="clear" w:color="auto" w:fill="auto"/>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Зменшено кількість/ліквідовано сміттєзвалищ</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22</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 xml:space="preserve">Площа рекультивованих/відновлених ділянок сміттєзвалищ </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 / гектарів</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23</w:t>
            </w:r>
          </w:p>
        </w:tc>
        <w:tc>
          <w:tcPr>
            <w:tcW w:w="5050" w:type="dxa"/>
            <w:shd w:val="clear" w:color="auto" w:fill="auto"/>
          </w:tcPr>
          <w:p w:rsidR="00566D2C" w:rsidRPr="006710E9" w:rsidRDefault="00566D2C" w:rsidP="00846AED">
            <w:pPr>
              <w:spacing w:after="0" w:line="240" w:lineRule="auto"/>
              <w:rPr>
                <w:rFonts w:ascii="Arial" w:hAnsi="Arial" w:cs="Arial"/>
                <w:szCs w:val="24"/>
                <w:lang w:val="uk-UA" w:eastAsia="uk-UA"/>
              </w:rPr>
            </w:pPr>
            <w:r w:rsidRPr="006710E9">
              <w:rPr>
                <w:rFonts w:ascii="Arial" w:hAnsi="Arial" w:cs="Arial"/>
                <w:szCs w:val="24"/>
                <w:lang w:val="uk-UA" w:eastAsia="uk-UA"/>
              </w:rPr>
              <w:t>Кількість зібраних, перероблених та відновлених побутових небезпечних відходів</w:t>
            </w:r>
          </w:p>
        </w:tc>
        <w:tc>
          <w:tcPr>
            <w:tcW w:w="1311" w:type="dxa"/>
            <w:shd w:val="clear" w:color="auto" w:fill="auto"/>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24</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Кількість населених пунктів, охоплених послугами із збирання небезпечних побутових відходів</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Управління  небезпечними промисловими відходами</w:t>
            </w:r>
          </w:p>
        </w:tc>
      </w:tr>
      <w:tr w:rsidR="00566D2C" w:rsidRPr="006710E9" w:rsidTr="00846AED">
        <w:trPr>
          <w:gridAfter w:val="2"/>
          <w:wAfter w:w="19" w:type="dxa"/>
          <w:trHeight w:val="20"/>
          <w:jc w:val="center"/>
        </w:trPr>
        <w:tc>
          <w:tcPr>
            <w:tcW w:w="1466"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25</w:t>
            </w:r>
          </w:p>
        </w:tc>
        <w:tc>
          <w:tcPr>
            <w:tcW w:w="5050" w:type="dxa"/>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Кількість підприємств/організації, що є утворювачами небезпечних промислових відходів</w:t>
            </w:r>
          </w:p>
        </w:tc>
        <w:tc>
          <w:tcPr>
            <w:tcW w:w="1311" w:type="dxa"/>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26</w:t>
            </w:r>
          </w:p>
        </w:tc>
        <w:tc>
          <w:tcPr>
            <w:tcW w:w="5050" w:type="dxa"/>
            <w:shd w:val="clear" w:color="auto" w:fill="FFFFFF" w:themeFill="background1"/>
            <w:hideMark/>
          </w:tcPr>
          <w:p w:rsidR="00566D2C" w:rsidRPr="006710E9" w:rsidRDefault="00566D2C" w:rsidP="00846AED">
            <w:pPr>
              <w:spacing w:after="0" w:line="240" w:lineRule="auto"/>
              <w:rPr>
                <w:rFonts w:ascii="Arial" w:hAnsi="Arial" w:cs="Arial"/>
                <w:szCs w:val="24"/>
                <w:lang w:val="uk-UA" w:eastAsia="uk-UA"/>
              </w:rPr>
            </w:pPr>
            <w:r w:rsidRPr="006710E9">
              <w:rPr>
                <w:rFonts w:ascii="Arial" w:hAnsi="Arial" w:cs="Arial"/>
                <w:szCs w:val="24"/>
                <w:lang w:val="uk-UA" w:eastAsia="uk-UA"/>
              </w:rPr>
              <w:t>Кількість небезпечних промислових відходів, направлених на оброблення/перероблення</w:t>
            </w:r>
          </w:p>
        </w:tc>
        <w:tc>
          <w:tcPr>
            <w:tcW w:w="1311" w:type="dxa"/>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65"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 xml:space="preserve">Управління промисловими відходами.  </w:t>
            </w:r>
          </w:p>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bCs/>
                <w:szCs w:val="24"/>
                <w:lang w:val="uk-UA" w:eastAsia="uk-UA"/>
              </w:rPr>
              <w:t>Управління відпрацьованими оливами</w:t>
            </w:r>
          </w:p>
        </w:tc>
      </w:tr>
      <w:tr w:rsidR="00566D2C" w:rsidRPr="006710E9" w:rsidTr="00846AED">
        <w:trPr>
          <w:gridAfter w:val="2"/>
          <w:wAfter w:w="19" w:type="dxa"/>
          <w:trHeight w:val="20"/>
          <w:jc w:val="center"/>
        </w:trPr>
        <w:tc>
          <w:tcPr>
            <w:tcW w:w="1466"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27</w:t>
            </w:r>
          </w:p>
        </w:tc>
        <w:tc>
          <w:tcPr>
            <w:tcW w:w="5050" w:type="dxa"/>
            <w:shd w:val="clear" w:color="auto" w:fill="FFFFFF" w:themeFill="background1"/>
            <w:hideMark/>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rPr>
              <w:t xml:space="preserve">Кількість утворених промислових відходів </w:t>
            </w:r>
          </w:p>
        </w:tc>
        <w:tc>
          <w:tcPr>
            <w:tcW w:w="1311" w:type="dxa"/>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65"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28</w:t>
            </w:r>
          </w:p>
        </w:tc>
        <w:tc>
          <w:tcPr>
            <w:tcW w:w="5050" w:type="dxa"/>
            <w:shd w:val="clear" w:color="auto" w:fill="FFFFFF" w:themeFill="background1"/>
            <w:hideMark/>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rPr>
              <w:t xml:space="preserve">Кількість промислових відходів, направлених на видалення </w:t>
            </w:r>
          </w:p>
        </w:tc>
        <w:tc>
          <w:tcPr>
            <w:tcW w:w="1311" w:type="dxa"/>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тон на рік </w:t>
            </w:r>
          </w:p>
        </w:tc>
        <w:tc>
          <w:tcPr>
            <w:tcW w:w="1865"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29</w:t>
            </w:r>
          </w:p>
        </w:tc>
        <w:tc>
          <w:tcPr>
            <w:tcW w:w="5050" w:type="dxa"/>
            <w:shd w:val="clear" w:color="auto" w:fill="FFFFFF" w:themeFill="background1"/>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rPr>
              <w:t>Кількість об’єктів оброблення промислових відходів (за видами об’єктів), що розміщуються на території громади</w:t>
            </w:r>
          </w:p>
        </w:tc>
        <w:tc>
          <w:tcPr>
            <w:tcW w:w="1311" w:type="dxa"/>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r w:rsidRPr="006710E9">
              <w:rPr>
                <w:rFonts w:ascii="Arial" w:hAnsi="Arial" w:cs="Arial"/>
                <w:i/>
                <w:iCs/>
                <w:szCs w:val="24"/>
                <w:lang w:val="uk-UA"/>
              </w:rPr>
              <w:br/>
            </w:r>
          </w:p>
        </w:tc>
        <w:tc>
          <w:tcPr>
            <w:tcW w:w="1865"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30</w:t>
            </w:r>
          </w:p>
        </w:tc>
        <w:tc>
          <w:tcPr>
            <w:tcW w:w="5050" w:type="dxa"/>
            <w:shd w:val="clear" w:color="auto" w:fill="FFFFFF" w:themeFill="background1"/>
          </w:tcPr>
          <w:p w:rsidR="00566D2C" w:rsidRPr="006710E9" w:rsidRDefault="00566D2C" w:rsidP="00846AED">
            <w:pPr>
              <w:spacing w:after="0" w:line="240" w:lineRule="auto"/>
              <w:rPr>
                <w:rFonts w:ascii="Arial" w:hAnsi="Arial" w:cs="Arial"/>
                <w:strike/>
                <w:color w:val="0070C0"/>
                <w:szCs w:val="24"/>
                <w:lang w:val="uk-UA"/>
              </w:rPr>
            </w:pPr>
            <w:r w:rsidRPr="006710E9">
              <w:rPr>
                <w:rFonts w:ascii="Arial" w:hAnsi="Arial" w:cs="Arial"/>
                <w:szCs w:val="24"/>
                <w:lang w:val="uk-UA" w:eastAsia="uk-UA"/>
              </w:rPr>
              <w:t>Створено реєстр утворювачів відпрацьованих олив</w:t>
            </w:r>
          </w:p>
        </w:tc>
        <w:tc>
          <w:tcPr>
            <w:tcW w:w="1311"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реєстр</w:t>
            </w:r>
          </w:p>
        </w:tc>
        <w:tc>
          <w:tcPr>
            <w:tcW w:w="1865"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На І етапі реалізації МПУВ</w:t>
            </w:r>
          </w:p>
        </w:tc>
      </w:tr>
      <w:tr w:rsidR="00566D2C" w:rsidRPr="006710E9" w:rsidTr="00846AED">
        <w:trPr>
          <w:gridAfter w:val="2"/>
          <w:wAfter w:w="19" w:type="dxa"/>
          <w:trHeight w:val="20"/>
          <w:jc w:val="center"/>
        </w:trPr>
        <w:tc>
          <w:tcPr>
            <w:tcW w:w="1466"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lastRenderedPageBreak/>
              <w:t>31</w:t>
            </w:r>
          </w:p>
        </w:tc>
        <w:tc>
          <w:tcPr>
            <w:tcW w:w="5050" w:type="dxa"/>
            <w:shd w:val="clear" w:color="auto" w:fill="FFFFFF" w:themeFill="background1"/>
            <w:hideMark/>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eastAsia="uk-UA"/>
              </w:rPr>
              <w:t xml:space="preserve">Кількість місць видалення промислових відходів </w:t>
            </w:r>
            <w:r w:rsidRPr="006710E9">
              <w:rPr>
                <w:rFonts w:ascii="Arial" w:hAnsi="Arial" w:cs="Arial"/>
                <w:szCs w:val="24"/>
                <w:lang w:val="uk-UA"/>
              </w:rPr>
              <w:t>(за видами операцій з видалення), що розміщуються на території громади</w:t>
            </w:r>
          </w:p>
        </w:tc>
        <w:tc>
          <w:tcPr>
            <w:tcW w:w="1311" w:type="dxa"/>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Управління медичними відходами</w:t>
            </w:r>
          </w:p>
        </w:tc>
      </w:tr>
      <w:tr w:rsidR="00566D2C" w:rsidRPr="006710E9" w:rsidTr="00846AED">
        <w:trPr>
          <w:gridAfter w:val="2"/>
          <w:wAfter w:w="19" w:type="dxa"/>
          <w:trHeight w:val="20"/>
          <w:jc w:val="center"/>
        </w:trPr>
        <w:tc>
          <w:tcPr>
            <w:tcW w:w="1466"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32</w:t>
            </w:r>
          </w:p>
        </w:tc>
        <w:tc>
          <w:tcPr>
            <w:tcW w:w="5050" w:type="dxa"/>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Кількість утворення медичних відходів (за категоріями відходів)</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proofErr w:type="spellStart"/>
            <w:r w:rsidRPr="006710E9">
              <w:rPr>
                <w:rFonts w:ascii="Arial" w:hAnsi="Arial" w:cs="Arial"/>
                <w:szCs w:val="24"/>
                <w:lang w:val="uk-UA"/>
              </w:rPr>
              <w:t>тонн</w:t>
            </w:r>
            <w:proofErr w:type="spellEnd"/>
            <w:r w:rsidRPr="006710E9">
              <w:rPr>
                <w:rFonts w:ascii="Arial" w:hAnsi="Arial" w:cs="Arial"/>
                <w:szCs w:val="24"/>
                <w:lang w:val="uk-UA"/>
              </w:rPr>
              <w:t xml:space="preserve"> на рік</w:t>
            </w:r>
          </w:p>
        </w:tc>
        <w:tc>
          <w:tcPr>
            <w:tcW w:w="1865" w:type="dxa"/>
            <w:gridSpan w:val="2"/>
          </w:tcPr>
          <w:p w:rsidR="00566D2C" w:rsidRPr="006710E9" w:rsidRDefault="00566D2C" w:rsidP="00846AED">
            <w:pPr>
              <w:spacing w:after="0" w:line="240" w:lineRule="auto"/>
              <w:jc w:val="center"/>
              <w:rPr>
                <w:rFonts w:ascii="Arial" w:hAnsi="Arial" w:cs="Arial"/>
                <w:szCs w:val="24"/>
                <w:highlight w:val="yellow"/>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33</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Створено потужності для роздільного збирання та оброблення інфекційних медичних відходів</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одиниць / </w:t>
            </w:r>
            <w:proofErr w:type="spellStart"/>
            <w:r w:rsidRPr="006710E9">
              <w:rPr>
                <w:rFonts w:ascii="Arial" w:hAnsi="Arial" w:cs="Arial"/>
                <w:szCs w:val="24"/>
                <w:lang w:val="uk-UA"/>
              </w:rPr>
              <w:t>тонн</w:t>
            </w:r>
            <w:proofErr w:type="spellEnd"/>
            <w:r w:rsidRPr="006710E9">
              <w:rPr>
                <w:rFonts w:ascii="Arial" w:hAnsi="Arial" w:cs="Arial"/>
                <w:szCs w:val="24"/>
                <w:lang w:val="uk-UA"/>
              </w:rPr>
              <w:t xml:space="preserve"> на рік</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34</w:t>
            </w:r>
          </w:p>
        </w:tc>
        <w:tc>
          <w:tcPr>
            <w:tcW w:w="5050" w:type="dxa"/>
            <w:shd w:val="clear" w:color="auto" w:fill="auto"/>
            <w:hideMark/>
          </w:tcPr>
          <w:p w:rsidR="00566D2C" w:rsidRPr="006710E9" w:rsidRDefault="00566D2C" w:rsidP="00846AED">
            <w:pPr>
              <w:spacing w:after="0" w:line="240" w:lineRule="auto"/>
              <w:rPr>
                <w:rFonts w:ascii="Arial" w:hAnsi="Arial" w:cs="Arial"/>
                <w:szCs w:val="24"/>
                <w:lang w:val="uk-UA" w:eastAsia="uk-UA"/>
              </w:rPr>
            </w:pPr>
            <w:r w:rsidRPr="006710E9">
              <w:rPr>
                <w:rFonts w:ascii="Arial" w:hAnsi="Arial" w:cs="Arial"/>
                <w:szCs w:val="24"/>
                <w:lang w:val="uk-UA" w:eastAsia="uk-UA"/>
              </w:rPr>
              <w:t>Створено потужності для термічного знешкодження медичних відходів</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одиниць / </w:t>
            </w:r>
            <w:proofErr w:type="spellStart"/>
            <w:r w:rsidRPr="006710E9">
              <w:rPr>
                <w:rFonts w:ascii="Arial" w:hAnsi="Arial" w:cs="Arial"/>
                <w:szCs w:val="24"/>
                <w:lang w:val="uk-UA"/>
              </w:rPr>
              <w:t>тонн</w:t>
            </w:r>
            <w:proofErr w:type="spellEnd"/>
            <w:r w:rsidRPr="006710E9">
              <w:rPr>
                <w:rFonts w:ascii="Arial" w:hAnsi="Arial" w:cs="Arial"/>
                <w:szCs w:val="24"/>
                <w:lang w:val="uk-UA"/>
              </w:rPr>
              <w:t xml:space="preserve"> на рік</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35</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Створено автоклави для медичних відходів у медичних закладах</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Pr>
          <w:p w:rsidR="00566D2C" w:rsidRPr="006710E9" w:rsidRDefault="00566D2C" w:rsidP="00846AED">
            <w:pPr>
              <w:spacing w:after="0" w:line="240" w:lineRule="auto"/>
              <w:jc w:val="center"/>
              <w:rPr>
                <w:rFonts w:ascii="Arial" w:hAnsi="Arial" w:cs="Arial"/>
                <w:szCs w:val="24"/>
                <w:highlight w:val="yellow"/>
                <w:lang w:val="uk-UA"/>
              </w:rPr>
            </w:pPr>
            <w:r w:rsidRPr="006710E9">
              <w:rPr>
                <w:rFonts w:ascii="Arial" w:hAnsi="Arial" w:cs="Arial"/>
                <w:szCs w:val="24"/>
                <w:lang w:val="uk-UA"/>
              </w:rPr>
              <w:t>щорічно</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Управління відходами сільського господарства</w:t>
            </w:r>
          </w:p>
        </w:tc>
      </w:tr>
      <w:tr w:rsidR="00566D2C" w:rsidRPr="006710E9" w:rsidTr="00846AED">
        <w:trPr>
          <w:gridAfter w:val="2"/>
          <w:wAfter w:w="19" w:type="dxa"/>
          <w:trHeight w:val="20"/>
          <w:jc w:val="center"/>
        </w:trPr>
        <w:tc>
          <w:tcPr>
            <w:tcW w:w="1466"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36</w:t>
            </w:r>
          </w:p>
        </w:tc>
        <w:tc>
          <w:tcPr>
            <w:tcW w:w="5050" w:type="dxa"/>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Обсяг утворення відходів сільського господарства рослинного походження</w:t>
            </w:r>
          </w:p>
        </w:tc>
        <w:tc>
          <w:tcPr>
            <w:tcW w:w="1311" w:type="dxa"/>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65"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highlight w:val="yellow"/>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37</w:t>
            </w:r>
          </w:p>
        </w:tc>
        <w:tc>
          <w:tcPr>
            <w:tcW w:w="5050" w:type="dxa"/>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Обсяг утворення відходів сільського господарства тваринного походження та гною</w:t>
            </w:r>
          </w:p>
        </w:tc>
        <w:tc>
          <w:tcPr>
            <w:tcW w:w="1311" w:type="dxa"/>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 / тон на рік</w:t>
            </w:r>
          </w:p>
        </w:tc>
        <w:tc>
          <w:tcPr>
            <w:tcW w:w="1865" w:type="dxa"/>
            <w:gridSpan w:val="2"/>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Borders>
              <w:top w:val="single" w:sz="4" w:space="0" w:color="auto"/>
              <w:left w:val="single" w:sz="4" w:space="0" w:color="auto"/>
              <w:bottom w:val="single" w:sz="4" w:space="0" w:color="auto"/>
              <w:right w:val="single" w:sz="4" w:space="0" w:color="auto"/>
            </w:tcBorders>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38</w:t>
            </w:r>
          </w:p>
        </w:tc>
        <w:tc>
          <w:tcPr>
            <w:tcW w:w="5050" w:type="dxa"/>
            <w:tcBorders>
              <w:top w:val="single" w:sz="4" w:space="0" w:color="auto"/>
              <w:left w:val="single" w:sz="4" w:space="0" w:color="auto"/>
              <w:bottom w:val="single" w:sz="4" w:space="0" w:color="auto"/>
              <w:right w:val="single" w:sz="4" w:space="0" w:color="auto"/>
            </w:tcBorders>
            <w:shd w:val="clear" w:color="auto" w:fill="auto"/>
            <w:hideMark/>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rPr>
              <w:t>Кількість сільськогосподарських підприємств/фермерських господарств, що застосовують біомасу сільськогосподарських відходів для виробництва енергії</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Borders>
              <w:top w:val="single" w:sz="4" w:space="0" w:color="auto"/>
              <w:left w:val="single" w:sz="4" w:space="0" w:color="auto"/>
              <w:bottom w:val="single" w:sz="4" w:space="0" w:color="auto"/>
              <w:right w:val="single" w:sz="4" w:space="0" w:color="auto"/>
            </w:tcBorders>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2"/>
          <w:wAfter w:w="19" w:type="dxa"/>
          <w:trHeight w:val="20"/>
          <w:jc w:val="center"/>
        </w:trPr>
        <w:tc>
          <w:tcPr>
            <w:tcW w:w="1466" w:type="dxa"/>
            <w:gridSpan w:val="2"/>
            <w:tcBorders>
              <w:top w:val="single" w:sz="4" w:space="0" w:color="auto"/>
              <w:left w:val="single" w:sz="4" w:space="0" w:color="auto"/>
              <w:bottom w:val="single" w:sz="4" w:space="0" w:color="auto"/>
              <w:right w:val="single" w:sz="4" w:space="0" w:color="auto"/>
            </w:tcBorders>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39</w:t>
            </w:r>
          </w:p>
        </w:tc>
        <w:tc>
          <w:tcPr>
            <w:tcW w:w="5050" w:type="dxa"/>
            <w:tcBorders>
              <w:top w:val="single" w:sz="4" w:space="0" w:color="auto"/>
              <w:left w:val="single" w:sz="4" w:space="0" w:color="auto"/>
              <w:bottom w:val="single" w:sz="4" w:space="0" w:color="auto"/>
              <w:right w:val="single" w:sz="4" w:space="0" w:color="auto"/>
            </w:tcBorders>
            <w:shd w:val="clear" w:color="auto" w:fill="auto"/>
            <w:hideMark/>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rPr>
              <w:t>Кількість господарств, що впровадили належну переробку та зберігання гною тварин й</w:t>
            </w:r>
            <w:r w:rsidRPr="006710E9">
              <w:rPr>
                <w:rFonts w:ascii="Arial" w:eastAsia="Times New Roman" w:hAnsi="Arial" w:cs="Arial"/>
                <w:szCs w:val="24"/>
                <w:lang w:val="uk-UA" w:eastAsia="uk-UA"/>
              </w:rPr>
              <w:t xml:space="preserve"> </w:t>
            </w:r>
            <w:r w:rsidRPr="006710E9">
              <w:rPr>
                <w:rFonts w:ascii="Arial" w:hAnsi="Arial" w:cs="Arial"/>
                <w:szCs w:val="24"/>
                <w:lang w:val="uk-UA"/>
              </w:rPr>
              <w:t>відходів, які утворюються під час вирощування та відгодівлі великої рогатої худоби та виробництва продукції</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65" w:type="dxa"/>
            <w:gridSpan w:val="2"/>
            <w:tcBorders>
              <w:top w:val="single" w:sz="4" w:space="0" w:color="auto"/>
              <w:left w:val="single" w:sz="4" w:space="0" w:color="auto"/>
              <w:bottom w:val="single" w:sz="4" w:space="0" w:color="auto"/>
              <w:right w:val="single" w:sz="4" w:space="0" w:color="auto"/>
            </w:tcBorders>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trHeight w:val="20"/>
          <w:jc w:val="center"/>
        </w:trPr>
        <w:tc>
          <w:tcPr>
            <w:tcW w:w="1426" w:type="dxa"/>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40</w:t>
            </w:r>
          </w:p>
        </w:tc>
        <w:tc>
          <w:tcPr>
            <w:tcW w:w="5090" w:type="dxa"/>
            <w:gridSpan w:val="2"/>
            <w:shd w:val="clear" w:color="auto" w:fill="auto"/>
            <w:hideMark/>
          </w:tcPr>
          <w:p w:rsidR="00566D2C" w:rsidRPr="006710E9" w:rsidRDefault="00566D2C" w:rsidP="00846AED">
            <w:pPr>
              <w:spacing w:after="0" w:line="240" w:lineRule="auto"/>
              <w:rPr>
                <w:rFonts w:ascii="Arial" w:hAnsi="Arial" w:cs="Arial"/>
                <w:szCs w:val="24"/>
                <w:lang w:val="uk-UA"/>
              </w:rPr>
            </w:pPr>
            <w:r w:rsidRPr="006710E9">
              <w:rPr>
                <w:rFonts w:ascii="Arial" w:hAnsi="Arial" w:cs="Arial"/>
                <w:szCs w:val="24"/>
                <w:lang w:val="uk-UA"/>
              </w:rPr>
              <w:t xml:space="preserve">Кількість об’єктів утворення та накопичення </w:t>
            </w:r>
            <w:r w:rsidRPr="006710E9">
              <w:rPr>
                <w:rFonts w:ascii="Arial" w:hAnsi="Arial" w:cs="Arial"/>
                <w:szCs w:val="24"/>
                <w:lang w:val="uk-UA" w:eastAsia="uk-UA"/>
              </w:rPr>
              <w:t>непридатних хімічних засобів захисту рослин (ХЗЗР)</w:t>
            </w:r>
            <w:r w:rsidRPr="006710E9">
              <w:rPr>
                <w:rFonts w:ascii="Arial" w:hAnsi="Arial" w:cs="Arial"/>
                <w:szCs w:val="24"/>
                <w:lang w:val="uk-UA"/>
              </w:rPr>
              <w:t>, зокрема відпрацьованої тари від ХЗЗР</w:t>
            </w:r>
          </w:p>
        </w:tc>
        <w:tc>
          <w:tcPr>
            <w:tcW w:w="1318" w:type="dxa"/>
            <w:gridSpan w:val="2"/>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 / тон</w:t>
            </w:r>
          </w:p>
        </w:tc>
        <w:tc>
          <w:tcPr>
            <w:tcW w:w="1877" w:type="dxa"/>
            <w:gridSpan w:val="3"/>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trHeight w:val="20"/>
          <w:jc w:val="center"/>
        </w:trPr>
        <w:tc>
          <w:tcPr>
            <w:tcW w:w="1426" w:type="dxa"/>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41</w:t>
            </w:r>
          </w:p>
        </w:tc>
        <w:tc>
          <w:tcPr>
            <w:tcW w:w="5090" w:type="dxa"/>
            <w:gridSpan w:val="2"/>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Площа о</w:t>
            </w:r>
            <w:r w:rsidRPr="006710E9">
              <w:rPr>
                <w:rFonts w:ascii="Arial" w:hAnsi="Arial" w:cs="Arial"/>
                <w:szCs w:val="24"/>
                <w:lang w:val="uk-UA" w:eastAsia="uk-UA"/>
              </w:rPr>
              <w:t>чищен</w:t>
            </w:r>
            <w:r w:rsidRPr="006710E9">
              <w:rPr>
                <w:rFonts w:ascii="Arial" w:hAnsi="Arial" w:cs="Arial"/>
                <w:szCs w:val="24"/>
                <w:lang w:val="uk-UA"/>
              </w:rPr>
              <w:t>их</w:t>
            </w:r>
            <w:r w:rsidRPr="006710E9">
              <w:rPr>
                <w:rFonts w:ascii="Arial" w:hAnsi="Arial" w:cs="Arial"/>
                <w:szCs w:val="24"/>
                <w:lang w:val="uk-UA" w:eastAsia="uk-UA"/>
              </w:rPr>
              <w:t xml:space="preserve"> </w:t>
            </w:r>
            <w:r w:rsidRPr="006710E9">
              <w:rPr>
                <w:rFonts w:ascii="Arial" w:hAnsi="Arial" w:cs="Arial"/>
                <w:szCs w:val="24"/>
                <w:lang w:val="uk-UA"/>
              </w:rPr>
              <w:t>та</w:t>
            </w:r>
            <w:r w:rsidRPr="006710E9">
              <w:rPr>
                <w:rFonts w:ascii="Arial" w:hAnsi="Arial" w:cs="Arial"/>
                <w:szCs w:val="24"/>
                <w:lang w:val="uk-UA" w:eastAsia="uk-UA"/>
              </w:rPr>
              <w:t xml:space="preserve"> реабілітован</w:t>
            </w:r>
            <w:r w:rsidRPr="006710E9">
              <w:rPr>
                <w:rFonts w:ascii="Arial" w:hAnsi="Arial" w:cs="Arial"/>
                <w:szCs w:val="24"/>
                <w:lang w:val="uk-UA"/>
              </w:rPr>
              <w:t>их</w:t>
            </w:r>
            <w:r w:rsidRPr="006710E9">
              <w:rPr>
                <w:rFonts w:ascii="Arial" w:hAnsi="Arial" w:cs="Arial"/>
                <w:szCs w:val="24"/>
                <w:lang w:val="uk-UA" w:eastAsia="uk-UA"/>
              </w:rPr>
              <w:t xml:space="preserve"> земельн</w:t>
            </w:r>
            <w:r w:rsidRPr="006710E9">
              <w:rPr>
                <w:rFonts w:ascii="Arial" w:hAnsi="Arial" w:cs="Arial"/>
                <w:szCs w:val="24"/>
                <w:lang w:val="uk-UA"/>
              </w:rPr>
              <w:t>их</w:t>
            </w:r>
            <w:r w:rsidRPr="006710E9">
              <w:rPr>
                <w:rFonts w:ascii="Arial" w:hAnsi="Arial" w:cs="Arial"/>
                <w:szCs w:val="24"/>
                <w:lang w:val="uk-UA" w:eastAsia="uk-UA"/>
              </w:rPr>
              <w:t xml:space="preserve"> ділян</w:t>
            </w:r>
            <w:r w:rsidRPr="006710E9">
              <w:rPr>
                <w:rFonts w:ascii="Arial" w:hAnsi="Arial" w:cs="Arial"/>
                <w:szCs w:val="24"/>
                <w:lang w:val="uk-UA"/>
              </w:rPr>
              <w:t>ок</w:t>
            </w:r>
            <w:r w:rsidRPr="006710E9">
              <w:rPr>
                <w:rFonts w:ascii="Arial" w:hAnsi="Arial" w:cs="Arial"/>
                <w:szCs w:val="24"/>
                <w:lang w:val="uk-UA" w:eastAsia="uk-UA"/>
              </w:rPr>
              <w:t>, забруднен</w:t>
            </w:r>
            <w:r w:rsidRPr="006710E9">
              <w:rPr>
                <w:rFonts w:ascii="Arial" w:hAnsi="Arial" w:cs="Arial"/>
                <w:szCs w:val="24"/>
                <w:lang w:val="uk-UA"/>
              </w:rPr>
              <w:t>их</w:t>
            </w:r>
            <w:r w:rsidRPr="006710E9">
              <w:rPr>
                <w:rFonts w:ascii="Arial" w:hAnsi="Arial" w:cs="Arial"/>
                <w:szCs w:val="24"/>
                <w:lang w:val="uk-UA" w:eastAsia="uk-UA"/>
              </w:rPr>
              <w:t xml:space="preserve"> непридатними ХЗЗР</w:t>
            </w:r>
          </w:p>
        </w:tc>
        <w:tc>
          <w:tcPr>
            <w:tcW w:w="1318" w:type="dxa"/>
            <w:gridSpan w:val="2"/>
            <w:shd w:val="clear" w:color="auto" w:fill="auto"/>
            <w:hideMark/>
          </w:tcPr>
          <w:p w:rsidR="00566D2C" w:rsidRPr="006710E9" w:rsidRDefault="00566D2C" w:rsidP="00846AED">
            <w:pPr>
              <w:spacing w:after="0" w:line="240" w:lineRule="auto"/>
              <w:jc w:val="center"/>
              <w:rPr>
                <w:rFonts w:ascii="Arial" w:hAnsi="Arial" w:cs="Arial"/>
                <w:szCs w:val="24"/>
                <w:lang w:val="uk-UA"/>
              </w:rPr>
            </w:pPr>
            <w:proofErr w:type="spellStart"/>
            <w:r w:rsidRPr="006710E9">
              <w:rPr>
                <w:rFonts w:ascii="Arial" w:hAnsi="Arial" w:cs="Arial"/>
                <w:szCs w:val="24"/>
                <w:lang w:val="uk-UA"/>
              </w:rPr>
              <w:t>кв</w:t>
            </w:r>
            <w:proofErr w:type="spellEnd"/>
            <w:r w:rsidRPr="006710E9">
              <w:rPr>
                <w:rFonts w:ascii="Arial" w:hAnsi="Arial" w:cs="Arial"/>
                <w:szCs w:val="24"/>
                <w:lang w:val="uk-UA"/>
              </w:rPr>
              <w:t xml:space="preserve">. м </w:t>
            </w:r>
          </w:p>
        </w:tc>
        <w:tc>
          <w:tcPr>
            <w:tcW w:w="1877" w:type="dxa"/>
            <w:gridSpan w:val="3"/>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Управління відходами будівництва та знесення</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42</w:t>
            </w:r>
          </w:p>
        </w:tc>
        <w:tc>
          <w:tcPr>
            <w:tcW w:w="5090" w:type="dxa"/>
            <w:gridSpan w:val="2"/>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 xml:space="preserve">Обсяг утворених відходів будівництва та знесення </w:t>
            </w:r>
          </w:p>
        </w:tc>
        <w:tc>
          <w:tcPr>
            <w:tcW w:w="1318" w:type="dxa"/>
            <w:gridSpan w:val="2"/>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highlight w:val="yellow"/>
                <w:lang w:val="uk-UA"/>
              </w:rPr>
            </w:pPr>
            <w:r w:rsidRPr="006710E9">
              <w:rPr>
                <w:rFonts w:ascii="Arial" w:hAnsi="Arial" w:cs="Arial"/>
                <w:szCs w:val="24"/>
                <w:lang w:val="uk-UA"/>
              </w:rPr>
              <w:t>щорічно</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43</w:t>
            </w:r>
          </w:p>
        </w:tc>
        <w:tc>
          <w:tcPr>
            <w:tcW w:w="5090" w:type="dxa"/>
            <w:gridSpan w:val="2"/>
            <w:shd w:val="clear" w:color="auto" w:fill="FFFFFF" w:themeFill="background1"/>
            <w:hideMark/>
          </w:tcPr>
          <w:p w:rsidR="00566D2C" w:rsidRPr="006710E9" w:rsidRDefault="00566D2C" w:rsidP="00846AED">
            <w:pPr>
              <w:spacing w:after="0" w:line="240" w:lineRule="auto"/>
              <w:rPr>
                <w:rFonts w:ascii="Arial" w:hAnsi="Arial" w:cs="Arial"/>
                <w:szCs w:val="24"/>
                <w:lang w:val="uk-UA" w:eastAsia="uk-UA"/>
              </w:rPr>
            </w:pPr>
            <w:r w:rsidRPr="006710E9">
              <w:rPr>
                <w:rFonts w:ascii="Arial" w:hAnsi="Arial" w:cs="Arial"/>
                <w:szCs w:val="24"/>
                <w:lang w:val="uk-UA" w:eastAsia="uk-UA"/>
              </w:rPr>
              <w:t xml:space="preserve">Створено потужності для </w:t>
            </w:r>
            <w:proofErr w:type="spellStart"/>
            <w:r w:rsidRPr="006710E9">
              <w:rPr>
                <w:rFonts w:ascii="Arial" w:hAnsi="Arial" w:cs="Arial"/>
                <w:szCs w:val="24"/>
                <w:lang w:val="uk-UA" w:eastAsia="uk-UA"/>
              </w:rPr>
              <w:t>рециклінгу</w:t>
            </w:r>
            <w:proofErr w:type="spellEnd"/>
            <w:r w:rsidRPr="006710E9">
              <w:rPr>
                <w:rFonts w:ascii="Arial" w:hAnsi="Arial" w:cs="Arial"/>
                <w:szCs w:val="24"/>
                <w:lang w:val="uk-UA" w:eastAsia="uk-UA"/>
              </w:rPr>
              <w:t xml:space="preserve"> відходів будівництва та знесення </w:t>
            </w:r>
          </w:p>
        </w:tc>
        <w:tc>
          <w:tcPr>
            <w:tcW w:w="1318" w:type="dxa"/>
            <w:gridSpan w:val="2"/>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одиниць </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за етапами реалізації МПУВ</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44</w:t>
            </w:r>
          </w:p>
        </w:tc>
        <w:tc>
          <w:tcPr>
            <w:tcW w:w="5090" w:type="dxa"/>
            <w:gridSpan w:val="2"/>
            <w:shd w:val="clear" w:color="auto" w:fill="FFFFFF" w:themeFill="background1"/>
            <w:hideMark/>
          </w:tcPr>
          <w:p w:rsidR="00566D2C" w:rsidRPr="006710E9" w:rsidRDefault="00566D2C" w:rsidP="00846AED">
            <w:pPr>
              <w:spacing w:after="0" w:line="240" w:lineRule="auto"/>
              <w:rPr>
                <w:rFonts w:ascii="Arial" w:hAnsi="Arial" w:cs="Arial"/>
                <w:szCs w:val="24"/>
                <w:lang w:val="uk-UA" w:eastAsia="uk-UA"/>
              </w:rPr>
            </w:pPr>
            <w:r w:rsidRPr="006710E9">
              <w:rPr>
                <w:rFonts w:ascii="Arial" w:eastAsia="Times New Roman" w:hAnsi="Arial" w:cs="Arial"/>
                <w:szCs w:val="24"/>
                <w:lang w:val="uk-UA" w:eastAsia="uk-UA"/>
              </w:rPr>
              <w:t>Створено місце тимчасового зберігання відходів будівництва та знесення</w:t>
            </w:r>
          </w:p>
        </w:tc>
        <w:tc>
          <w:tcPr>
            <w:tcW w:w="1318" w:type="dxa"/>
            <w:gridSpan w:val="2"/>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одиниць / </w:t>
            </w:r>
          </w:p>
          <w:p w:rsidR="00566D2C" w:rsidRPr="006710E9" w:rsidRDefault="00566D2C" w:rsidP="00846AED">
            <w:pPr>
              <w:spacing w:after="0" w:line="240" w:lineRule="auto"/>
              <w:jc w:val="center"/>
              <w:rPr>
                <w:rFonts w:ascii="Arial" w:hAnsi="Arial" w:cs="Arial"/>
                <w:szCs w:val="24"/>
                <w:lang w:val="uk-UA"/>
              </w:rPr>
            </w:pPr>
            <w:proofErr w:type="spellStart"/>
            <w:r w:rsidRPr="006710E9">
              <w:rPr>
                <w:rFonts w:ascii="Arial" w:hAnsi="Arial" w:cs="Arial"/>
                <w:szCs w:val="24"/>
                <w:lang w:val="uk-UA"/>
              </w:rPr>
              <w:t>кв</w:t>
            </w:r>
            <w:proofErr w:type="spellEnd"/>
            <w:r w:rsidRPr="006710E9">
              <w:rPr>
                <w:rFonts w:ascii="Arial" w:hAnsi="Arial" w:cs="Arial"/>
                <w:szCs w:val="24"/>
                <w:lang w:val="uk-UA"/>
              </w:rPr>
              <w:t>. м</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за етапами реалізації МПУВ</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Управління осадом стічних вод</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45</w:t>
            </w:r>
          </w:p>
        </w:tc>
        <w:tc>
          <w:tcPr>
            <w:tcW w:w="5090" w:type="dxa"/>
            <w:gridSpan w:val="2"/>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Кількість утвореного осаду стічних вод</w:t>
            </w:r>
          </w:p>
        </w:tc>
        <w:tc>
          <w:tcPr>
            <w:tcW w:w="1318" w:type="dxa"/>
            <w:gridSpan w:val="2"/>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trHeight w:val="2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46</w:t>
            </w:r>
          </w:p>
        </w:tc>
        <w:tc>
          <w:tcPr>
            <w:tcW w:w="50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Кількість обробленого осаду стічних вод й переданого для подальшого використання</w:t>
            </w:r>
          </w:p>
        </w:tc>
        <w:tc>
          <w:tcPr>
            <w:tcW w:w="13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lastRenderedPageBreak/>
              <w:t xml:space="preserve">Управління відходами </w:t>
            </w:r>
            <w:proofErr w:type="spellStart"/>
            <w:r w:rsidRPr="006710E9">
              <w:rPr>
                <w:rFonts w:ascii="Arial" w:hAnsi="Arial" w:cs="Arial"/>
                <w:b/>
                <w:iCs/>
                <w:szCs w:val="24"/>
                <w:lang w:val="uk-UA"/>
              </w:rPr>
              <w:t>паковання</w:t>
            </w:r>
            <w:proofErr w:type="spellEnd"/>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47</w:t>
            </w:r>
          </w:p>
        </w:tc>
        <w:tc>
          <w:tcPr>
            <w:tcW w:w="5090" w:type="dxa"/>
            <w:gridSpan w:val="2"/>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Кількість роздільно зібраних відходів упаковки (за видами матеріалів)</w:t>
            </w:r>
          </w:p>
        </w:tc>
        <w:tc>
          <w:tcPr>
            <w:tcW w:w="1318" w:type="dxa"/>
            <w:gridSpan w:val="2"/>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 xml:space="preserve">тон на рік </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highlight w:val="yellow"/>
                <w:lang w:val="uk-UA"/>
              </w:rPr>
            </w:pPr>
            <w:r w:rsidRPr="006710E9">
              <w:rPr>
                <w:rFonts w:ascii="Arial" w:hAnsi="Arial" w:cs="Arial"/>
                <w:szCs w:val="24"/>
                <w:lang w:val="uk-UA"/>
              </w:rPr>
              <w:t>щорічно</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48</w:t>
            </w:r>
          </w:p>
        </w:tc>
        <w:tc>
          <w:tcPr>
            <w:tcW w:w="5090" w:type="dxa"/>
            <w:gridSpan w:val="2"/>
            <w:shd w:val="clear" w:color="auto" w:fill="FFFFFF" w:themeFill="background1"/>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 xml:space="preserve">Кількість створених пунктів приймання й </w:t>
            </w:r>
            <w:proofErr w:type="spellStart"/>
            <w:r w:rsidRPr="006710E9">
              <w:rPr>
                <w:rFonts w:ascii="Arial" w:hAnsi="Arial" w:cs="Arial"/>
                <w:szCs w:val="24"/>
                <w:lang w:val="uk-UA" w:eastAsia="uk-UA"/>
              </w:rPr>
              <w:t>рециклінгу</w:t>
            </w:r>
            <w:proofErr w:type="spellEnd"/>
            <w:r w:rsidRPr="006710E9">
              <w:rPr>
                <w:rFonts w:ascii="Arial" w:hAnsi="Arial" w:cs="Arial"/>
                <w:szCs w:val="24"/>
                <w:lang w:val="uk-UA" w:eastAsia="uk-UA"/>
              </w:rPr>
              <w:t xml:space="preserve"> відходів </w:t>
            </w:r>
            <w:proofErr w:type="spellStart"/>
            <w:r w:rsidRPr="006710E9">
              <w:rPr>
                <w:rFonts w:ascii="Arial" w:hAnsi="Arial" w:cs="Arial"/>
                <w:szCs w:val="24"/>
                <w:lang w:val="uk-UA" w:eastAsia="uk-UA"/>
              </w:rPr>
              <w:t>паковання</w:t>
            </w:r>
            <w:proofErr w:type="spellEnd"/>
          </w:p>
        </w:tc>
        <w:tc>
          <w:tcPr>
            <w:tcW w:w="1318"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Управління відходами електричного та електронного обладнання (ВЕЕО)</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49</w:t>
            </w:r>
          </w:p>
        </w:tc>
        <w:tc>
          <w:tcPr>
            <w:tcW w:w="5090" w:type="dxa"/>
            <w:gridSpan w:val="2"/>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Кількість роздільно зібраних відходів електричного та електронного обладнання</w:t>
            </w:r>
          </w:p>
        </w:tc>
        <w:tc>
          <w:tcPr>
            <w:tcW w:w="1318" w:type="dxa"/>
            <w:gridSpan w:val="2"/>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proofErr w:type="spellStart"/>
            <w:r w:rsidRPr="006710E9">
              <w:rPr>
                <w:rFonts w:ascii="Arial" w:hAnsi="Arial" w:cs="Arial"/>
                <w:szCs w:val="24"/>
                <w:lang w:val="uk-UA"/>
              </w:rPr>
              <w:t>тонн</w:t>
            </w:r>
            <w:proofErr w:type="spellEnd"/>
            <w:r w:rsidRPr="006710E9">
              <w:rPr>
                <w:rFonts w:ascii="Arial" w:hAnsi="Arial" w:cs="Arial"/>
                <w:szCs w:val="24"/>
                <w:lang w:val="uk-UA"/>
              </w:rPr>
              <w:t xml:space="preserve"> на рік</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highlight w:val="yellow"/>
                <w:lang w:val="uk-UA"/>
              </w:rPr>
            </w:pPr>
            <w:r w:rsidRPr="006710E9">
              <w:rPr>
                <w:rFonts w:ascii="Arial" w:hAnsi="Arial" w:cs="Arial"/>
                <w:szCs w:val="24"/>
                <w:lang w:val="uk-UA"/>
              </w:rPr>
              <w:t>щорічно</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50</w:t>
            </w:r>
          </w:p>
        </w:tc>
        <w:tc>
          <w:tcPr>
            <w:tcW w:w="5090" w:type="dxa"/>
            <w:gridSpan w:val="2"/>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Створено громадський майданчик для збирання ВЕЕО  й специфічних побутових  відходів</w:t>
            </w:r>
          </w:p>
        </w:tc>
        <w:tc>
          <w:tcPr>
            <w:tcW w:w="1318" w:type="dxa"/>
            <w:gridSpan w:val="2"/>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за етапами реалізації МПУВ</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51</w:t>
            </w:r>
          </w:p>
        </w:tc>
        <w:tc>
          <w:tcPr>
            <w:tcW w:w="5090" w:type="dxa"/>
            <w:gridSpan w:val="2"/>
            <w:shd w:val="clear" w:color="auto" w:fill="FFFFFF" w:themeFill="background1"/>
          </w:tcPr>
          <w:p w:rsidR="00566D2C" w:rsidRPr="006710E9" w:rsidRDefault="00566D2C" w:rsidP="00846AED">
            <w:pPr>
              <w:spacing w:after="0" w:line="240" w:lineRule="auto"/>
              <w:rPr>
                <w:rFonts w:ascii="Arial" w:hAnsi="Arial" w:cs="Arial"/>
                <w:szCs w:val="24"/>
                <w:lang w:val="uk-UA" w:eastAsia="uk-UA"/>
              </w:rPr>
            </w:pPr>
            <w:r w:rsidRPr="006710E9">
              <w:rPr>
                <w:rFonts w:ascii="Arial" w:hAnsi="Arial" w:cs="Arial"/>
                <w:szCs w:val="24"/>
                <w:lang w:val="uk-UA" w:eastAsia="uk-UA"/>
              </w:rPr>
              <w:t>Створено центр  ремонту вживаного електричного та електронного обладнання</w:t>
            </w:r>
          </w:p>
        </w:tc>
        <w:tc>
          <w:tcPr>
            <w:tcW w:w="1318"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за етапами реалізації МПУВ</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 xml:space="preserve">Управління відпрацьованими </w:t>
            </w:r>
            <w:proofErr w:type="spellStart"/>
            <w:r w:rsidRPr="006710E9">
              <w:rPr>
                <w:rFonts w:ascii="Arial" w:hAnsi="Arial" w:cs="Arial"/>
                <w:b/>
                <w:iCs/>
                <w:szCs w:val="24"/>
                <w:lang w:val="uk-UA"/>
              </w:rPr>
              <w:t>батареями</w:t>
            </w:r>
            <w:proofErr w:type="spellEnd"/>
            <w:r w:rsidRPr="006710E9">
              <w:rPr>
                <w:rFonts w:ascii="Arial" w:hAnsi="Arial" w:cs="Arial"/>
                <w:b/>
                <w:iCs/>
                <w:szCs w:val="24"/>
                <w:lang w:val="uk-UA"/>
              </w:rPr>
              <w:t xml:space="preserve"> та акумуляторами</w:t>
            </w:r>
          </w:p>
        </w:tc>
      </w:tr>
      <w:tr w:rsidR="00566D2C" w:rsidRPr="00566D2C"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52</w:t>
            </w:r>
          </w:p>
        </w:tc>
        <w:tc>
          <w:tcPr>
            <w:tcW w:w="5090" w:type="dxa"/>
            <w:gridSpan w:val="2"/>
            <w:shd w:val="clear" w:color="auto" w:fill="FFFFFF" w:themeFill="background1"/>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rPr>
              <w:t xml:space="preserve">Кількість пунктів приймання/збирання відпрацьованих батарейок, </w:t>
            </w:r>
            <w:proofErr w:type="spellStart"/>
            <w:r w:rsidRPr="006710E9">
              <w:rPr>
                <w:rFonts w:ascii="Arial" w:hAnsi="Arial" w:cs="Arial"/>
                <w:szCs w:val="24"/>
                <w:lang w:val="uk-UA"/>
              </w:rPr>
              <w:t>батарей</w:t>
            </w:r>
            <w:proofErr w:type="spellEnd"/>
            <w:r w:rsidRPr="006710E9">
              <w:rPr>
                <w:rFonts w:ascii="Arial" w:hAnsi="Arial" w:cs="Arial"/>
                <w:szCs w:val="24"/>
                <w:lang w:val="uk-UA"/>
              </w:rPr>
              <w:t xml:space="preserve"> і акумуляторів</w:t>
            </w:r>
          </w:p>
        </w:tc>
        <w:tc>
          <w:tcPr>
            <w:tcW w:w="1318"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Управління знятими з експлуатації транспортними засобами (ТЗЗЕ)</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53</w:t>
            </w:r>
          </w:p>
        </w:tc>
        <w:tc>
          <w:tcPr>
            <w:tcW w:w="5090" w:type="dxa"/>
            <w:gridSpan w:val="2"/>
            <w:shd w:val="clear" w:color="auto" w:fill="FFFFFF" w:themeFill="background1"/>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Кількість транспортних засобів, знятих з експлуатації (за видами транспортних засобів)</w:t>
            </w:r>
          </w:p>
        </w:tc>
        <w:tc>
          <w:tcPr>
            <w:tcW w:w="1318" w:type="dxa"/>
            <w:gridSpan w:val="2"/>
            <w:shd w:val="clear" w:color="auto" w:fill="FFFFFF" w:themeFill="background1"/>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gridAfter w:val="1"/>
          <w:wAfter w:w="10" w:type="dxa"/>
          <w:trHeight w:val="20"/>
          <w:jc w:val="center"/>
        </w:trPr>
        <w:tc>
          <w:tcPr>
            <w:tcW w:w="9701" w:type="dxa"/>
            <w:gridSpan w:val="7"/>
            <w:shd w:val="clear" w:color="auto" w:fill="FFFFFF" w:themeFill="background1"/>
          </w:tcPr>
          <w:p w:rsidR="00566D2C" w:rsidRPr="006710E9" w:rsidRDefault="00566D2C" w:rsidP="00846AED">
            <w:pPr>
              <w:spacing w:after="0" w:line="240" w:lineRule="auto"/>
              <w:jc w:val="center"/>
              <w:rPr>
                <w:rFonts w:ascii="Arial" w:hAnsi="Arial" w:cs="Arial"/>
                <w:b/>
                <w:iCs/>
                <w:szCs w:val="24"/>
                <w:lang w:val="uk-UA"/>
              </w:rPr>
            </w:pPr>
            <w:r w:rsidRPr="006710E9">
              <w:rPr>
                <w:rFonts w:ascii="Arial" w:hAnsi="Arial" w:cs="Arial"/>
                <w:b/>
                <w:iCs/>
                <w:szCs w:val="24"/>
                <w:lang w:val="uk-UA"/>
              </w:rPr>
              <w:t xml:space="preserve">Управління </w:t>
            </w:r>
            <w:r w:rsidRPr="006710E9">
              <w:rPr>
                <w:rFonts w:ascii="Arial" w:hAnsi="Arial" w:cs="Arial"/>
                <w:b/>
                <w:bCs/>
                <w:szCs w:val="24"/>
                <w:lang w:val="uk-UA" w:eastAsia="uk-UA"/>
              </w:rPr>
              <w:t>відпрацьованими шинами</w:t>
            </w:r>
          </w:p>
        </w:tc>
      </w:tr>
      <w:tr w:rsidR="00566D2C" w:rsidRPr="006710E9" w:rsidTr="00846AED">
        <w:trPr>
          <w:trHeight w:val="20"/>
          <w:jc w:val="center"/>
        </w:trPr>
        <w:tc>
          <w:tcPr>
            <w:tcW w:w="1426" w:type="dxa"/>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54</w:t>
            </w:r>
          </w:p>
        </w:tc>
        <w:tc>
          <w:tcPr>
            <w:tcW w:w="5090" w:type="dxa"/>
            <w:gridSpan w:val="2"/>
            <w:shd w:val="clear" w:color="auto" w:fill="FFFFFF" w:themeFill="background1"/>
          </w:tcPr>
          <w:p w:rsidR="00566D2C" w:rsidRPr="006710E9" w:rsidRDefault="00566D2C" w:rsidP="00846AED">
            <w:pPr>
              <w:spacing w:after="0" w:line="240" w:lineRule="auto"/>
              <w:rPr>
                <w:rFonts w:ascii="Arial" w:hAnsi="Arial" w:cs="Arial"/>
                <w:szCs w:val="24"/>
                <w:lang w:val="uk-UA" w:eastAsia="uk-UA"/>
              </w:rPr>
            </w:pPr>
            <w:r w:rsidRPr="006710E9">
              <w:rPr>
                <w:rFonts w:ascii="Arial" w:hAnsi="Arial" w:cs="Arial"/>
                <w:szCs w:val="24"/>
                <w:lang w:val="uk-UA" w:eastAsia="uk-UA"/>
              </w:rPr>
              <w:t>Кількість відпрацьованих шин, зібраних з транспортного сектору</w:t>
            </w:r>
          </w:p>
        </w:tc>
        <w:tc>
          <w:tcPr>
            <w:tcW w:w="1318" w:type="dxa"/>
            <w:gridSpan w:val="2"/>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тон на рік</w:t>
            </w:r>
          </w:p>
        </w:tc>
        <w:tc>
          <w:tcPr>
            <w:tcW w:w="1877" w:type="dxa"/>
            <w:gridSpan w:val="3"/>
            <w:shd w:val="clear" w:color="auto" w:fill="FFFFFF" w:themeFill="background1"/>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щорічно</w:t>
            </w:r>
          </w:p>
        </w:tc>
      </w:tr>
      <w:tr w:rsidR="00566D2C" w:rsidRPr="006710E9" w:rsidTr="00846AED">
        <w:trPr>
          <w:trHeight w:val="20"/>
          <w:jc w:val="center"/>
        </w:trPr>
        <w:tc>
          <w:tcPr>
            <w:tcW w:w="1426" w:type="dxa"/>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55</w:t>
            </w:r>
          </w:p>
        </w:tc>
        <w:tc>
          <w:tcPr>
            <w:tcW w:w="5090" w:type="dxa"/>
            <w:gridSpan w:val="2"/>
            <w:shd w:val="clear" w:color="auto" w:fill="auto"/>
            <w:hideMark/>
          </w:tcPr>
          <w:p w:rsidR="00566D2C" w:rsidRPr="006710E9" w:rsidRDefault="00566D2C" w:rsidP="00846AED">
            <w:pPr>
              <w:spacing w:after="0" w:line="240" w:lineRule="auto"/>
              <w:rPr>
                <w:rFonts w:ascii="Arial" w:hAnsi="Arial" w:cs="Arial"/>
                <w:color w:val="0070C0"/>
                <w:szCs w:val="24"/>
                <w:lang w:val="uk-UA"/>
              </w:rPr>
            </w:pPr>
            <w:r w:rsidRPr="006710E9">
              <w:rPr>
                <w:rFonts w:ascii="Arial" w:hAnsi="Arial" w:cs="Arial"/>
                <w:szCs w:val="24"/>
                <w:lang w:val="uk-UA" w:eastAsia="uk-UA"/>
              </w:rPr>
              <w:t>Створено громадські пункти збирання відпрацьованих шин</w:t>
            </w:r>
          </w:p>
        </w:tc>
        <w:tc>
          <w:tcPr>
            <w:tcW w:w="1318" w:type="dxa"/>
            <w:gridSpan w:val="2"/>
            <w:shd w:val="clear" w:color="auto" w:fill="auto"/>
            <w:hideMark/>
          </w:tcPr>
          <w:p w:rsidR="00566D2C" w:rsidRPr="006710E9" w:rsidRDefault="00566D2C" w:rsidP="00846AED">
            <w:pPr>
              <w:spacing w:after="0" w:line="240" w:lineRule="auto"/>
              <w:jc w:val="center"/>
              <w:rPr>
                <w:rFonts w:ascii="Arial" w:hAnsi="Arial" w:cs="Arial"/>
                <w:szCs w:val="24"/>
                <w:lang w:val="uk-UA"/>
              </w:rPr>
            </w:pPr>
            <w:r w:rsidRPr="006710E9">
              <w:rPr>
                <w:rFonts w:ascii="Arial" w:hAnsi="Arial" w:cs="Arial"/>
                <w:szCs w:val="24"/>
                <w:lang w:val="uk-UA"/>
              </w:rPr>
              <w:t>одиниць</w:t>
            </w:r>
          </w:p>
        </w:tc>
        <w:tc>
          <w:tcPr>
            <w:tcW w:w="1877" w:type="dxa"/>
            <w:gridSpan w:val="3"/>
          </w:tcPr>
          <w:p w:rsidR="00566D2C" w:rsidRPr="006710E9" w:rsidRDefault="00566D2C" w:rsidP="00846AED">
            <w:pPr>
              <w:spacing w:after="0" w:line="240" w:lineRule="auto"/>
              <w:jc w:val="center"/>
              <w:rPr>
                <w:rFonts w:ascii="Arial" w:hAnsi="Arial" w:cs="Arial"/>
                <w:szCs w:val="24"/>
                <w:highlight w:val="yellow"/>
                <w:lang w:val="uk-UA"/>
              </w:rPr>
            </w:pPr>
            <w:r w:rsidRPr="006710E9">
              <w:rPr>
                <w:rFonts w:ascii="Arial" w:hAnsi="Arial" w:cs="Arial"/>
                <w:szCs w:val="24"/>
                <w:lang w:val="uk-UA"/>
              </w:rPr>
              <w:t>за етапами реалізації МПУВ</w:t>
            </w:r>
          </w:p>
        </w:tc>
      </w:tr>
    </w:tbl>
    <w:p w:rsidR="00566D2C" w:rsidRDefault="00566D2C" w:rsidP="00566D2C">
      <w:pPr>
        <w:tabs>
          <w:tab w:val="left" w:pos="851"/>
          <w:tab w:val="left" w:pos="4275"/>
        </w:tabs>
        <w:spacing w:after="0"/>
        <w:ind w:firstLine="567"/>
        <w:jc w:val="both"/>
        <w:rPr>
          <w:rFonts w:ascii="Arial" w:hAnsi="Arial" w:cs="Arial"/>
          <w:b/>
          <w:iCs/>
          <w:szCs w:val="24"/>
          <w:lang w:val="uk-UA"/>
        </w:rPr>
      </w:pPr>
      <w:bookmarkStart w:id="2" w:name="_Hlk130416700"/>
    </w:p>
    <w:p w:rsidR="00566D2C" w:rsidRPr="00DC377B" w:rsidRDefault="00566D2C" w:rsidP="00566D2C">
      <w:p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 xml:space="preserve">Моніторинг базується </w:t>
      </w:r>
      <w:r w:rsidRPr="00DC377B">
        <w:rPr>
          <w:rFonts w:ascii="Arial" w:hAnsi="Arial" w:cs="Arial"/>
          <w:bCs/>
          <w:iCs/>
          <w:szCs w:val="24"/>
          <w:lang w:val="uk-UA" w:bidi="ru-RU"/>
        </w:rPr>
        <w:t xml:space="preserve">на </w:t>
      </w:r>
      <w:r w:rsidRPr="00DC377B">
        <w:rPr>
          <w:rFonts w:ascii="Arial" w:hAnsi="Arial" w:cs="Arial"/>
          <w:bCs/>
          <w:iCs/>
          <w:szCs w:val="24"/>
          <w:lang w:val="uk-UA" w:bidi="uk-UA"/>
        </w:rPr>
        <w:t xml:space="preserve">розгляді </w:t>
      </w:r>
      <w:r w:rsidRPr="00DC377B">
        <w:rPr>
          <w:rFonts w:ascii="Arial" w:hAnsi="Arial" w:cs="Arial"/>
          <w:bCs/>
          <w:iCs/>
          <w:szCs w:val="24"/>
          <w:lang w:val="uk-UA" w:bidi="ru-RU"/>
        </w:rPr>
        <w:t xml:space="preserve">обмеженого числа </w:t>
      </w:r>
      <w:r w:rsidRPr="00DC377B">
        <w:rPr>
          <w:rFonts w:ascii="Arial" w:hAnsi="Arial" w:cs="Arial"/>
          <w:bCs/>
          <w:iCs/>
          <w:szCs w:val="24"/>
          <w:lang w:val="uk-UA" w:bidi="uk-UA"/>
        </w:rPr>
        <w:t xml:space="preserve">відібраних показників (індикаторів) </w:t>
      </w:r>
      <w:r w:rsidRPr="00DC377B">
        <w:rPr>
          <w:rFonts w:ascii="Arial" w:hAnsi="Arial" w:cs="Arial"/>
          <w:bCs/>
          <w:iCs/>
          <w:szCs w:val="24"/>
          <w:lang w:val="uk-UA" w:bidi="ru-RU"/>
        </w:rPr>
        <w:t xml:space="preserve">за кожним </w:t>
      </w:r>
      <w:r w:rsidRPr="00DC377B">
        <w:rPr>
          <w:rFonts w:ascii="Arial" w:hAnsi="Arial" w:cs="Arial"/>
          <w:bCs/>
          <w:iCs/>
          <w:szCs w:val="24"/>
          <w:lang w:val="uk-UA" w:bidi="uk-UA"/>
        </w:rPr>
        <w:t xml:space="preserve">зі стратегічних напрямів </w:t>
      </w:r>
      <w:r w:rsidRPr="00DC377B">
        <w:rPr>
          <w:rFonts w:ascii="Arial" w:hAnsi="Arial" w:cs="Arial"/>
          <w:bCs/>
          <w:iCs/>
          <w:szCs w:val="24"/>
          <w:lang w:val="uk-UA" w:bidi="ru-RU"/>
        </w:rPr>
        <w:t xml:space="preserve">та </w:t>
      </w:r>
      <w:r w:rsidRPr="00DC377B">
        <w:rPr>
          <w:rFonts w:ascii="Arial" w:hAnsi="Arial" w:cs="Arial"/>
          <w:bCs/>
          <w:iCs/>
          <w:szCs w:val="24"/>
          <w:lang w:val="uk-UA" w:bidi="uk-UA"/>
        </w:rPr>
        <w:t xml:space="preserve">аналізі </w:t>
      </w:r>
      <w:r w:rsidRPr="00DC377B">
        <w:rPr>
          <w:rFonts w:ascii="Arial" w:hAnsi="Arial" w:cs="Arial"/>
          <w:bCs/>
          <w:iCs/>
          <w:szCs w:val="24"/>
          <w:lang w:val="uk-UA" w:bidi="ru-RU"/>
        </w:rPr>
        <w:t xml:space="preserve">досягнення запланованих </w:t>
      </w:r>
      <w:r w:rsidRPr="00DC377B">
        <w:rPr>
          <w:rFonts w:ascii="Arial" w:hAnsi="Arial" w:cs="Arial"/>
          <w:bCs/>
          <w:iCs/>
          <w:szCs w:val="24"/>
          <w:lang w:val="uk-UA" w:bidi="uk-UA"/>
        </w:rPr>
        <w:t>результатів.</w:t>
      </w:r>
    </w:p>
    <w:p w:rsidR="00566D2C" w:rsidRPr="00DC377B" w:rsidRDefault="00566D2C" w:rsidP="00566D2C">
      <w:p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 xml:space="preserve">Фіксуються </w:t>
      </w:r>
      <w:r w:rsidRPr="00DC377B">
        <w:rPr>
          <w:rFonts w:ascii="Arial" w:hAnsi="Arial" w:cs="Arial"/>
          <w:bCs/>
          <w:iCs/>
          <w:szCs w:val="24"/>
          <w:lang w:val="uk-UA" w:bidi="ru-RU"/>
        </w:rPr>
        <w:t xml:space="preserve">та </w:t>
      </w:r>
      <w:r w:rsidRPr="00DC377B">
        <w:rPr>
          <w:rFonts w:ascii="Arial" w:hAnsi="Arial" w:cs="Arial"/>
          <w:bCs/>
          <w:iCs/>
          <w:szCs w:val="24"/>
          <w:lang w:val="uk-UA" w:bidi="uk-UA"/>
        </w:rPr>
        <w:t>аналізуються:</w:t>
      </w:r>
    </w:p>
    <w:p w:rsidR="00566D2C" w:rsidRPr="00DC377B" w:rsidRDefault="00566D2C" w:rsidP="00566D2C">
      <w:pPr>
        <w:numPr>
          <w:ilvl w:val="0"/>
          <w:numId w:val="2"/>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 xml:space="preserve">ступінь </w:t>
      </w:r>
      <w:r w:rsidRPr="00DC377B">
        <w:rPr>
          <w:rFonts w:ascii="Arial" w:hAnsi="Arial" w:cs="Arial"/>
          <w:bCs/>
          <w:iCs/>
          <w:szCs w:val="24"/>
          <w:lang w:val="uk-UA" w:bidi="ru-RU"/>
        </w:rPr>
        <w:t>виконання кожного завдання проекту;</w:t>
      </w:r>
    </w:p>
    <w:p w:rsidR="00566D2C" w:rsidRPr="00DC377B" w:rsidRDefault="00566D2C" w:rsidP="00566D2C">
      <w:pPr>
        <w:numPr>
          <w:ilvl w:val="0"/>
          <w:numId w:val="2"/>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 xml:space="preserve">невиконані </w:t>
      </w:r>
      <w:r w:rsidRPr="00DC377B">
        <w:rPr>
          <w:rFonts w:ascii="Arial" w:hAnsi="Arial" w:cs="Arial"/>
          <w:bCs/>
          <w:iCs/>
          <w:szCs w:val="24"/>
          <w:lang w:val="uk-UA" w:bidi="ru-RU"/>
        </w:rPr>
        <w:t xml:space="preserve">завдання, причини </w:t>
      </w:r>
      <w:r w:rsidRPr="00DC377B">
        <w:rPr>
          <w:rFonts w:ascii="Arial" w:hAnsi="Arial" w:cs="Arial"/>
          <w:bCs/>
          <w:iCs/>
          <w:szCs w:val="24"/>
          <w:lang w:val="uk-UA" w:bidi="uk-UA"/>
        </w:rPr>
        <w:t>відхилення, пропозиції;</w:t>
      </w:r>
    </w:p>
    <w:p w:rsidR="00566D2C" w:rsidRPr="00DC377B" w:rsidRDefault="00566D2C" w:rsidP="00566D2C">
      <w:pPr>
        <w:numPr>
          <w:ilvl w:val="0"/>
          <w:numId w:val="2"/>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 xml:space="preserve">дані </w:t>
      </w:r>
      <w:r w:rsidRPr="00DC377B">
        <w:rPr>
          <w:rFonts w:ascii="Arial" w:hAnsi="Arial" w:cs="Arial"/>
          <w:bCs/>
          <w:iCs/>
          <w:szCs w:val="24"/>
          <w:lang w:val="uk-UA" w:bidi="ru-RU"/>
        </w:rPr>
        <w:t xml:space="preserve">за </w:t>
      </w:r>
      <w:r w:rsidRPr="00DC377B">
        <w:rPr>
          <w:rFonts w:ascii="Arial" w:hAnsi="Arial" w:cs="Arial"/>
          <w:bCs/>
          <w:iCs/>
          <w:szCs w:val="24"/>
          <w:lang w:val="uk-UA" w:bidi="uk-UA"/>
        </w:rPr>
        <w:t xml:space="preserve">індикаторами, </w:t>
      </w:r>
      <w:r w:rsidRPr="00DC377B">
        <w:rPr>
          <w:rFonts w:ascii="Arial" w:hAnsi="Arial" w:cs="Arial"/>
          <w:bCs/>
          <w:iCs/>
          <w:szCs w:val="24"/>
          <w:lang w:val="uk-UA" w:bidi="ru-RU"/>
        </w:rPr>
        <w:t xml:space="preserve">що </w:t>
      </w:r>
      <w:r w:rsidRPr="00DC377B">
        <w:rPr>
          <w:rFonts w:ascii="Arial" w:hAnsi="Arial" w:cs="Arial"/>
          <w:bCs/>
          <w:iCs/>
          <w:szCs w:val="24"/>
          <w:lang w:val="uk-UA" w:bidi="uk-UA"/>
        </w:rPr>
        <w:t xml:space="preserve">відображають </w:t>
      </w:r>
      <w:r w:rsidRPr="00DC377B">
        <w:rPr>
          <w:rFonts w:ascii="Arial" w:hAnsi="Arial" w:cs="Arial"/>
          <w:bCs/>
          <w:iCs/>
          <w:szCs w:val="24"/>
          <w:lang w:val="uk-UA" w:bidi="ru-RU"/>
        </w:rPr>
        <w:t xml:space="preserve">результат </w:t>
      </w:r>
      <w:r w:rsidRPr="00DC377B">
        <w:rPr>
          <w:rFonts w:ascii="Arial" w:hAnsi="Arial" w:cs="Arial"/>
          <w:bCs/>
          <w:iCs/>
          <w:szCs w:val="24"/>
          <w:lang w:val="uk-UA" w:bidi="uk-UA"/>
        </w:rPr>
        <w:t>реалізації проектів;</w:t>
      </w:r>
    </w:p>
    <w:p w:rsidR="00566D2C" w:rsidRPr="00DC377B" w:rsidRDefault="00566D2C" w:rsidP="00566D2C">
      <w:pPr>
        <w:numPr>
          <w:ilvl w:val="0"/>
          <w:numId w:val="2"/>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 xml:space="preserve">оцінка </w:t>
      </w:r>
      <w:r w:rsidRPr="00DC377B">
        <w:rPr>
          <w:rFonts w:ascii="Arial" w:hAnsi="Arial" w:cs="Arial"/>
          <w:bCs/>
          <w:iCs/>
          <w:szCs w:val="24"/>
          <w:lang w:val="uk-UA" w:bidi="ru-RU"/>
        </w:rPr>
        <w:t xml:space="preserve">потреб у </w:t>
      </w:r>
      <w:r w:rsidRPr="00DC377B">
        <w:rPr>
          <w:rFonts w:ascii="Arial" w:hAnsi="Arial" w:cs="Arial"/>
          <w:bCs/>
          <w:iCs/>
          <w:szCs w:val="24"/>
          <w:lang w:val="uk-UA" w:bidi="uk-UA"/>
        </w:rPr>
        <w:t>фінансуванні;</w:t>
      </w:r>
    </w:p>
    <w:p w:rsidR="00566D2C" w:rsidRPr="00DC377B" w:rsidRDefault="00566D2C" w:rsidP="00566D2C">
      <w:pPr>
        <w:numPr>
          <w:ilvl w:val="0"/>
          <w:numId w:val="2"/>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 xml:space="preserve">пропозиції </w:t>
      </w:r>
      <w:r w:rsidRPr="00DC377B">
        <w:rPr>
          <w:rFonts w:ascii="Arial" w:hAnsi="Arial" w:cs="Arial"/>
          <w:bCs/>
          <w:iCs/>
          <w:szCs w:val="24"/>
          <w:lang w:val="uk-UA" w:bidi="ru-RU"/>
        </w:rPr>
        <w:t xml:space="preserve">щодо вдосконалення </w:t>
      </w:r>
      <w:r w:rsidRPr="00DC377B">
        <w:rPr>
          <w:rFonts w:ascii="Arial" w:hAnsi="Arial" w:cs="Arial"/>
          <w:bCs/>
          <w:iCs/>
          <w:szCs w:val="24"/>
          <w:lang w:val="uk-UA" w:bidi="uk-UA"/>
        </w:rPr>
        <w:t xml:space="preserve">діючої </w:t>
      </w:r>
      <w:r w:rsidRPr="00DC377B">
        <w:rPr>
          <w:rFonts w:ascii="Arial" w:hAnsi="Arial" w:cs="Arial"/>
          <w:bCs/>
          <w:iCs/>
          <w:szCs w:val="24"/>
          <w:lang w:val="uk-UA" w:bidi="ru-RU"/>
        </w:rPr>
        <w:t xml:space="preserve">системи </w:t>
      </w:r>
      <w:r w:rsidRPr="00DC377B">
        <w:rPr>
          <w:rFonts w:ascii="Arial" w:hAnsi="Arial" w:cs="Arial"/>
          <w:bCs/>
          <w:iCs/>
          <w:szCs w:val="24"/>
          <w:lang w:val="uk-UA" w:bidi="uk-UA"/>
        </w:rPr>
        <w:t>моніторингу.</w:t>
      </w:r>
    </w:p>
    <w:p w:rsidR="00566D2C" w:rsidRPr="00DC377B" w:rsidRDefault="00566D2C" w:rsidP="00566D2C">
      <w:p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ru-RU"/>
        </w:rPr>
        <w:t xml:space="preserve">Практична </w:t>
      </w:r>
      <w:r w:rsidRPr="00DC377B">
        <w:rPr>
          <w:rFonts w:ascii="Arial" w:hAnsi="Arial" w:cs="Arial"/>
          <w:bCs/>
          <w:iCs/>
          <w:szCs w:val="24"/>
          <w:lang w:val="uk-UA" w:bidi="uk-UA"/>
        </w:rPr>
        <w:t>реалізація моніторингу.</w:t>
      </w:r>
    </w:p>
    <w:p w:rsidR="00566D2C" w:rsidRPr="00DC377B" w:rsidRDefault="00566D2C" w:rsidP="00566D2C">
      <w:pPr>
        <w:numPr>
          <w:ilvl w:val="0"/>
          <w:numId w:val="3"/>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Зміст заходів, передбачених для здійснення моніторингу - наведений в проекті МПУВ.</w:t>
      </w:r>
    </w:p>
    <w:p w:rsidR="00566D2C" w:rsidRPr="00DC377B" w:rsidRDefault="00566D2C" w:rsidP="00566D2C">
      <w:pPr>
        <w:numPr>
          <w:ilvl w:val="0"/>
          <w:numId w:val="3"/>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Періодичність моніторингу (вимірювання показників, проведення їх аналізу та співставлення із цільовими значеннями) - один раз на рік.</w:t>
      </w:r>
    </w:p>
    <w:p w:rsidR="00566D2C" w:rsidRPr="00DC377B" w:rsidRDefault="00566D2C" w:rsidP="00566D2C">
      <w:pPr>
        <w:numPr>
          <w:ilvl w:val="0"/>
          <w:numId w:val="3"/>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Кількісні та якісні показники, одиниці їх вимірювання та цільові значення - згідно з таблицею 9.1.</w:t>
      </w:r>
    </w:p>
    <w:p w:rsidR="00566D2C" w:rsidRPr="00DC377B" w:rsidRDefault="00566D2C" w:rsidP="00566D2C">
      <w:pPr>
        <w:numPr>
          <w:ilvl w:val="0"/>
          <w:numId w:val="3"/>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t>Методи визначення кожного із показників - статистичні методи.</w:t>
      </w:r>
    </w:p>
    <w:p w:rsidR="00566D2C" w:rsidRPr="00DC377B" w:rsidRDefault="00566D2C" w:rsidP="00566D2C">
      <w:pPr>
        <w:numPr>
          <w:ilvl w:val="0"/>
          <w:numId w:val="3"/>
        </w:numPr>
        <w:tabs>
          <w:tab w:val="left" w:pos="851"/>
          <w:tab w:val="left" w:pos="4275"/>
        </w:tabs>
        <w:spacing w:after="0"/>
        <w:ind w:firstLine="567"/>
        <w:jc w:val="both"/>
        <w:rPr>
          <w:rFonts w:ascii="Arial" w:hAnsi="Arial" w:cs="Arial"/>
          <w:bCs/>
          <w:iCs/>
          <w:szCs w:val="24"/>
          <w:lang w:val="uk-UA" w:bidi="uk-UA"/>
        </w:rPr>
      </w:pPr>
      <w:r w:rsidRPr="00DC377B">
        <w:rPr>
          <w:rFonts w:ascii="Arial" w:hAnsi="Arial" w:cs="Arial"/>
          <w:bCs/>
          <w:iCs/>
          <w:szCs w:val="24"/>
          <w:lang w:val="uk-UA" w:bidi="uk-UA"/>
        </w:rPr>
        <w:lastRenderedPageBreak/>
        <w:t>Засоби і способи виявлення наявності або відсутності наслідків для довкілля у тому числі для здоров’я населення - статистичні дослідження.</w:t>
      </w:r>
    </w:p>
    <w:p w:rsidR="00566D2C" w:rsidRPr="00DC377B" w:rsidRDefault="00566D2C" w:rsidP="00566D2C">
      <w:pPr>
        <w:tabs>
          <w:tab w:val="left" w:pos="851"/>
          <w:tab w:val="left" w:pos="4275"/>
        </w:tabs>
        <w:spacing w:after="0"/>
        <w:ind w:firstLine="567"/>
        <w:jc w:val="both"/>
        <w:rPr>
          <w:rFonts w:ascii="Arial" w:hAnsi="Arial" w:cs="Arial"/>
          <w:bCs/>
          <w:iCs/>
          <w:szCs w:val="24"/>
          <w:lang w:val="uk-UA"/>
        </w:rPr>
      </w:pPr>
      <w:r w:rsidRPr="00DC377B">
        <w:rPr>
          <w:rFonts w:ascii="Arial" w:hAnsi="Arial" w:cs="Arial"/>
          <w:bCs/>
          <w:iCs/>
          <w:szCs w:val="24"/>
          <w:lang w:val="uk-UA" w:bidi="uk-UA"/>
        </w:rPr>
        <w:t>Оприлюднення результатів моніторингу - замовник оприлюднює на власному офіційному веб-сайті один раз на рік протягом строку дії документа державного планування та через рік після закінчення такого строку</w:t>
      </w:r>
    </w:p>
    <w:p w:rsidR="00566D2C" w:rsidRDefault="00566D2C" w:rsidP="00566D2C">
      <w:pPr>
        <w:tabs>
          <w:tab w:val="left" w:pos="851"/>
          <w:tab w:val="left" w:pos="4275"/>
        </w:tabs>
        <w:spacing w:after="0" w:line="276" w:lineRule="auto"/>
        <w:ind w:firstLine="567"/>
        <w:jc w:val="both"/>
        <w:rPr>
          <w:rFonts w:ascii="Arial" w:hAnsi="Arial" w:cs="Arial"/>
          <w:b/>
          <w:iCs/>
          <w:szCs w:val="24"/>
          <w:lang w:val="uk-UA"/>
        </w:rPr>
      </w:pPr>
    </w:p>
    <w:p w:rsidR="00566D2C" w:rsidRPr="006710E9" w:rsidRDefault="00566D2C" w:rsidP="00566D2C">
      <w:pPr>
        <w:tabs>
          <w:tab w:val="left" w:pos="851"/>
          <w:tab w:val="left" w:pos="4275"/>
        </w:tabs>
        <w:spacing w:after="0" w:line="276" w:lineRule="auto"/>
        <w:ind w:firstLine="567"/>
        <w:jc w:val="both"/>
        <w:rPr>
          <w:rFonts w:ascii="Arial" w:hAnsi="Arial" w:cs="Arial"/>
          <w:b/>
          <w:iCs/>
          <w:szCs w:val="24"/>
          <w:lang w:val="uk-UA"/>
        </w:rPr>
      </w:pPr>
      <w:r w:rsidRPr="006710E9">
        <w:rPr>
          <w:rFonts w:ascii="Arial" w:hAnsi="Arial" w:cs="Arial"/>
          <w:b/>
          <w:iCs/>
          <w:szCs w:val="24"/>
          <w:lang w:val="uk-UA"/>
        </w:rPr>
        <w:t>Періодичність</w:t>
      </w:r>
    </w:p>
    <w:p w:rsidR="00566D2C" w:rsidRPr="006710E9" w:rsidRDefault="00566D2C" w:rsidP="00566D2C">
      <w:pPr>
        <w:tabs>
          <w:tab w:val="left" w:pos="851"/>
          <w:tab w:val="left" w:pos="4275"/>
        </w:tabs>
        <w:spacing w:after="0" w:line="276" w:lineRule="auto"/>
        <w:ind w:firstLine="567"/>
        <w:jc w:val="both"/>
        <w:rPr>
          <w:rFonts w:ascii="Arial" w:hAnsi="Arial" w:cs="Arial"/>
          <w:szCs w:val="24"/>
          <w:lang w:val="uk-UA"/>
        </w:rPr>
      </w:pPr>
      <w:r w:rsidRPr="006710E9">
        <w:rPr>
          <w:rFonts w:ascii="Arial" w:hAnsi="Arial" w:cs="Arial"/>
          <w:szCs w:val="24"/>
          <w:lang w:val="uk-UA"/>
        </w:rPr>
        <w:t>Моніторинг наслідків виконання МПУВ для довкілля проводиться щорічно.</w:t>
      </w:r>
    </w:p>
    <w:bookmarkEnd w:id="2"/>
    <w:p w:rsidR="00566D2C" w:rsidRPr="006710E9" w:rsidRDefault="00566D2C" w:rsidP="00566D2C">
      <w:pPr>
        <w:spacing w:after="0" w:line="276" w:lineRule="auto"/>
        <w:ind w:firstLine="567"/>
        <w:contextualSpacing/>
        <w:jc w:val="both"/>
        <w:rPr>
          <w:rFonts w:ascii="Arial" w:hAnsi="Arial" w:cs="Arial"/>
          <w:bCs/>
          <w:szCs w:val="24"/>
          <w:lang w:val="uk-UA"/>
        </w:rPr>
      </w:pPr>
    </w:p>
    <w:p w:rsidR="00566D2C" w:rsidRPr="006710E9" w:rsidRDefault="00566D2C" w:rsidP="00566D2C">
      <w:pPr>
        <w:spacing w:after="0" w:line="276" w:lineRule="auto"/>
        <w:ind w:firstLine="567"/>
        <w:contextualSpacing/>
        <w:jc w:val="both"/>
        <w:rPr>
          <w:rFonts w:ascii="Arial" w:hAnsi="Arial" w:cs="Arial"/>
          <w:b/>
          <w:bCs/>
          <w:iCs/>
          <w:szCs w:val="24"/>
          <w:lang w:val="uk-UA"/>
        </w:rPr>
      </w:pPr>
      <w:r w:rsidRPr="006710E9">
        <w:rPr>
          <w:rFonts w:ascii="Arial" w:hAnsi="Arial" w:cs="Arial"/>
          <w:b/>
          <w:bCs/>
          <w:iCs/>
          <w:szCs w:val="24"/>
          <w:lang w:val="uk-UA"/>
        </w:rPr>
        <w:t>Аналіз результатів моніторингу</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Результати моніторингу наслідків для довкілля, зумовлених реалізацією заходів МПУВ оцінюються за критеріями досягнення цілей визначених у МПУВ та за загальною динамікою зміни відповідних показників у часі. Для забезпечення коректності інтерпретації результатів моніторингу слід враховувати якість та повноту вихідних даних, на яких базується аналіз.</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Результати моніторингу впливів на довкілля, об’єктів інфраструктури, створених в рамках реалізації МПУВ, оцінюються за критеріями відповідності вимогам чинного законодавства.</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Результати моніторингу виникнення екологічних проблем, що мають відношення до сфери управління відходами та не передбачених МПУВ та звітом про СЕО, оцінюються за критеріями кількості виявлених додаткових проблем з урахуванням їх специфіки.</w:t>
      </w:r>
    </w:p>
    <w:p w:rsidR="00566D2C" w:rsidRPr="006710E9" w:rsidRDefault="00566D2C" w:rsidP="00566D2C">
      <w:pPr>
        <w:spacing w:after="0" w:line="276" w:lineRule="auto"/>
        <w:ind w:firstLine="567"/>
        <w:contextualSpacing/>
        <w:jc w:val="both"/>
        <w:rPr>
          <w:rFonts w:ascii="Arial" w:hAnsi="Arial" w:cs="Arial"/>
          <w:b/>
          <w:bCs/>
          <w:szCs w:val="24"/>
          <w:lang w:val="uk-UA" w:bidi="uk-UA"/>
        </w:rPr>
      </w:pPr>
    </w:p>
    <w:p w:rsidR="00566D2C" w:rsidRPr="006710E9" w:rsidRDefault="00566D2C" w:rsidP="00566D2C">
      <w:pPr>
        <w:spacing w:after="0" w:line="276" w:lineRule="auto"/>
        <w:ind w:firstLine="567"/>
        <w:contextualSpacing/>
        <w:jc w:val="both"/>
        <w:rPr>
          <w:rFonts w:ascii="Arial" w:hAnsi="Arial" w:cs="Arial"/>
          <w:b/>
          <w:bCs/>
          <w:szCs w:val="24"/>
          <w:lang w:val="uk-UA"/>
        </w:rPr>
      </w:pPr>
      <w:r w:rsidRPr="006710E9">
        <w:rPr>
          <w:rFonts w:ascii="Arial" w:hAnsi="Arial" w:cs="Arial"/>
          <w:b/>
          <w:bCs/>
          <w:szCs w:val="24"/>
          <w:lang w:val="uk-UA" w:bidi="uk-UA"/>
        </w:rPr>
        <w:t>Вимоги до організації та здійснення моніторингу</w:t>
      </w:r>
    </w:p>
    <w:p w:rsidR="00566D2C" w:rsidRPr="006710E9" w:rsidRDefault="00566D2C" w:rsidP="00566D2C">
      <w:pPr>
        <w:spacing w:after="0" w:line="276" w:lineRule="auto"/>
        <w:ind w:firstLine="567"/>
        <w:contextualSpacing/>
        <w:jc w:val="both"/>
        <w:rPr>
          <w:rFonts w:ascii="Arial" w:hAnsi="Arial" w:cs="Arial"/>
          <w:bCs/>
          <w:szCs w:val="24"/>
          <w:lang w:val="uk-UA" w:bidi="uk-UA"/>
        </w:rPr>
      </w:pPr>
      <w:r w:rsidRPr="006710E9">
        <w:rPr>
          <w:rFonts w:ascii="Arial" w:hAnsi="Arial" w:cs="Arial"/>
          <w:bCs/>
          <w:szCs w:val="24"/>
          <w:lang w:val="uk-UA" w:bidi="uk-UA"/>
        </w:rPr>
        <w:t>Основні вимоги організації та здійснення моніторингу наслідків виконання документа державного планування для довкілля, у тому числі для здоров’я населення визначені «Порядком здійснення моніторингу наслідків виконання документа державного планування для довкілля, у тому числі для здоров’я населення», затвердженого Постановою Кабінету Міністрів України від 16 грудня 2020 року №1272.</w:t>
      </w:r>
    </w:p>
    <w:p w:rsidR="00566D2C" w:rsidRPr="006710E9" w:rsidRDefault="00566D2C" w:rsidP="00566D2C">
      <w:pPr>
        <w:spacing w:after="0" w:line="276" w:lineRule="auto"/>
        <w:ind w:firstLine="567"/>
        <w:contextualSpacing/>
        <w:jc w:val="both"/>
        <w:rPr>
          <w:rFonts w:ascii="Arial" w:hAnsi="Arial" w:cs="Arial"/>
          <w:bCs/>
          <w:szCs w:val="24"/>
          <w:lang w:val="uk-UA" w:bidi="uk-UA"/>
        </w:rPr>
      </w:pPr>
      <w:r w:rsidRPr="006710E9">
        <w:rPr>
          <w:rFonts w:ascii="Arial" w:hAnsi="Arial" w:cs="Arial"/>
          <w:b/>
          <w:bCs/>
          <w:szCs w:val="24"/>
          <w:u w:val="single"/>
          <w:lang w:val="uk-UA" w:bidi="uk-UA"/>
        </w:rPr>
        <w:t>а) Для органу місцевого самоврядування:</w:t>
      </w:r>
    </w:p>
    <w:p w:rsidR="00566D2C" w:rsidRPr="006710E9" w:rsidRDefault="00566D2C" w:rsidP="00566D2C">
      <w:pPr>
        <w:spacing w:after="0" w:line="276" w:lineRule="auto"/>
        <w:ind w:firstLine="567"/>
        <w:contextualSpacing/>
        <w:jc w:val="both"/>
        <w:rPr>
          <w:rFonts w:ascii="Arial" w:hAnsi="Arial" w:cs="Arial"/>
          <w:bCs/>
          <w:szCs w:val="24"/>
          <w:lang w:val="uk-UA" w:bidi="uk-UA"/>
        </w:rPr>
      </w:pPr>
      <w:r w:rsidRPr="006710E9">
        <w:rPr>
          <w:rFonts w:ascii="Arial" w:hAnsi="Arial" w:cs="Arial"/>
          <w:bCs/>
          <w:szCs w:val="24"/>
          <w:lang w:val="uk-UA" w:bidi="uk-UA"/>
        </w:rPr>
        <w:t xml:space="preserve">Наразі, для професійного та якісного результату моніторингу наслідків виконання документу державного планування на довкілля, в тому числі на здоров’я населення </w:t>
      </w:r>
      <w:r w:rsidRPr="006710E9">
        <w:rPr>
          <w:rFonts w:ascii="Arial" w:hAnsi="Arial" w:cs="Arial"/>
          <w:b/>
          <w:bCs/>
          <w:szCs w:val="24"/>
          <w:lang w:val="uk-UA" w:bidi="uk-UA"/>
        </w:rPr>
        <w:t>передбачені наступні заходи для здійснення моніторингу:</w:t>
      </w:r>
    </w:p>
    <w:p w:rsidR="00566D2C" w:rsidRPr="007E04FF" w:rsidRDefault="00566D2C" w:rsidP="00566D2C">
      <w:pPr>
        <w:spacing w:after="0" w:line="276" w:lineRule="auto"/>
        <w:ind w:firstLine="567"/>
        <w:contextualSpacing/>
        <w:jc w:val="both"/>
        <w:rPr>
          <w:rFonts w:ascii="Arial" w:hAnsi="Arial" w:cs="Arial"/>
          <w:bCs/>
          <w:szCs w:val="24"/>
          <w:lang w:val="uk-UA" w:bidi="uk-UA"/>
        </w:rPr>
      </w:pPr>
      <w:r w:rsidRPr="007E04FF">
        <w:rPr>
          <w:rFonts w:ascii="Arial" w:hAnsi="Arial" w:cs="Arial"/>
          <w:bCs/>
          <w:szCs w:val="24"/>
          <w:lang w:val="uk-UA" w:bidi="uk-UA"/>
        </w:rPr>
        <w:t xml:space="preserve">- </w:t>
      </w:r>
      <w:r w:rsidRPr="007E04FF">
        <w:rPr>
          <w:rFonts w:ascii="Arial" w:hAnsi="Arial" w:cs="Arial"/>
          <w:bCs/>
          <w:i/>
          <w:iCs/>
          <w:szCs w:val="24"/>
          <w:lang w:val="uk-UA" w:bidi="uk-UA"/>
        </w:rPr>
        <w:t>встановлення показників та їх цільових значень, відповідно до кожного із визначених у звіті про стратегічну екологічну оцінку негативних наслідків для довкілля, у тому числі для здоров’я населення.</w:t>
      </w:r>
    </w:p>
    <w:p w:rsidR="00566D2C" w:rsidRPr="007E04FF" w:rsidRDefault="00566D2C" w:rsidP="00566D2C">
      <w:pPr>
        <w:numPr>
          <w:ilvl w:val="0"/>
          <w:numId w:val="1"/>
        </w:numPr>
        <w:spacing w:after="0" w:line="276" w:lineRule="auto"/>
        <w:contextualSpacing/>
        <w:jc w:val="both"/>
        <w:rPr>
          <w:rFonts w:ascii="Arial" w:hAnsi="Arial" w:cs="Arial"/>
          <w:bCs/>
          <w:szCs w:val="24"/>
          <w:lang w:val="uk-UA"/>
        </w:rPr>
      </w:pPr>
      <w:r w:rsidRPr="007E04FF">
        <w:rPr>
          <w:rFonts w:ascii="Arial" w:hAnsi="Arial" w:cs="Arial"/>
          <w:bCs/>
          <w:i/>
          <w:iCs/>
          <w:szCs w:val="24"/>
          <w:lang w:val="uk-UA"/>
        </w:rPr>
        <w:t>встановлення показників та їх цільових значень для оцінки ефективності та достатності заходів із запобігання, зменшення та компенсації негативних наслідків, зумовлених виконанням документа державного планування.</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Процедура встановлення показників та їх цільових значень для оцінки ефективності та достатності заходів із запобігання, зменшення та компенсації негативних наслідків, зумовлених виконанням документа державного планування та звітування про результати залежить від конкретного компоненту довкілля та регламентується нормативними документами, ДСТУ та галузевими стандартами.</w:t>
      </w:r>
    </w:p>
    <w:p w:rsidR="00566D2C" w:rsidRPr="006710E9" w:rsidRDefault="00566D2C" w:rsidP="00566D2C">
      <w:pPr>
        <w:numPr>
          <w:ilvl w:val="0"/>
          <w:numId w:val="1"/>
        </w:numPr>
        <w:spacing w:after="0" w:line="276" w:lineRule="auto"/>
        <w:contextualSpacing/>
        <w:jc w:val="both"/>
        <w:rPr>
          <w:rFonts w:ascii="Arial" w:hAnsi="Arial" w:cs="Arial"/>
          <w:bCs/>
          <w:szCs w:val="24"/>
          <w:lang w:val="uk-UA"/>
        </w:rPr>
      </w:pPr>
      <w:bookmarkStart w:id="3" w:name="bookmark1"/>
      <w:bookmarkEnd w:id="3"/>
      <w:r w:rsidRPr="006710E9">
        <w:rPr>
          <w:rFonts w:ascii="Arial" w:hAnsi="Arial" w:cs="Arial"/>
          <w:b/>
          <w:bCs/>
          <w:i/>
          <w:iCs/>
          <w:szCs w:val="24"/>
          <w:lang w:val="uk-UA"/>
        </w:rPr>
        <w:lastRenderedPageBreak/>
        <w:t>встановлення методів визначення кожного із показників, які дозволять швидко і без надлишкових витрат їх вимірювати.</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 xml:space="preserve">Залучена акредитована лабораторія, яка має право на виконання лабораторних досліджень різних аспектів довкілля: поверхневих вод, повітря, </w:t>
      </w:r>
      <w:proofErr w:type="spellStart"/>
      <w:r w:rsidRPr="006710E9">
        <w:rPr>
          <w:rFonts w:ascii="Arial" w:hAnsi="Arial" w:cs="Arial"/>
          <w:bCs/>
          <w:szCs w:val="24"/>
          <w:lang w:val="uk-UA"/>
        </w:rPr>
        <w:t>грунтів</w:t>
      </w:r>
      <w:proofErr w:type="spellEnd"/>
      <w:r w:rsidRPr="006710E9">
        <w:rPr>
          <w:rFonts w:ascii="Arial" w:hAnsi="Arial" w:cs="Arial"/>
          <w:bCs/>
          <w:szCs w:val="24"/>
          <w:lang w:val="uk-UA"/>
        </w:rPr>
        <w:t>, парникових газів тощо.</w:t>
      </w:r>
    </w:p>
    <w:p w:rsidR="00566D2C" w:rsidRPr="006710E9" w:rsidRDefault="00566D2C" w:rsidP="00566D2C">
      <w:pPr>
        <w:numPr>
          <w:ilvl w:val="0"/>
          <w:numId w:val="1"/>
        </w:numPr>
        <w:spacing w:after="0" w:line="276" w:lineRule="auto"/>
        <w:contextualSpacing/>
        <w:jc w:val="both"/>
        <w:rPr>
          <w:rFonts w:ascii="Arial" w:hAnsi="Arial" w:cs="Arial"/>
          <w:bCs/>
          <w:szCs w:val="24"/>
          <w:lang w:val="uk-UA"/>
        </w:rPr>
      </w:pPr>
      <w:bookmarkStart w:id="4" w:name="bookmark2"/>
      <w:bookmarkEnd w:id="4"/>
      <w:r w:rsidRPr="006710E9">
        <w:rPr>
          <w:rFonts w:ascii="Arial" w:hAnsi="Arial" w:cs="Arial"/>
          <w:b/>
          <w:bCs/>
          <w:i/>
          <w:iCs/>
          <w:szCs w:val="24"/>
          <w:lang w:val="uk-UA"/>
        </w:rPr>
        <w:t>встановлення періодичності вимірювання показників, їх аналізу та співставлення із цільовими значеннями.</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Проводити щорічно та складати звітність в результаті їх аналізу та співставлення із цільовими значеннями.</w:t>
      </w:r>
    </w:p>
    <w:p w:rsidR="00566D2C" w:rsidRPr="006710E9" w:rsidRDefault="00566D2C" w:rsidP="00566D2C">
      <w:pPr>
        <w:numPr>
          <w:ilvl w:val="0"/>
          <w:numId w:val="1"/>
        </w:numPr>
        <w:spacing w:after="0" w:line="276" w:lineRule="auto"/>
        <w:contextualSpacing/>
        <w:jc w:val="both"/>
        <w:rPr>
          <w:rFonts w:ascii="Arial" w:hAnsi="Arial" w:cs="Arial"/>
          <w:bCs/>
          <w:szCs w:val="24"/>
          <w:lang w:val="uk-UA"/>
        </w:rPr>
      </w:pPr>
      <w:bookmarkStart w:id="5" w:name="bookmark3"/>
      <w:bookmarkEnd w:id="5"/>
      <w:r w:rsidRPr="006710E9">
        <w:rPr>
          <w:rFonts w:ascii="Arial" w:hAnsi="Arial" w:cs="Arial"/>
          <w:b/>
          <w:bCs/>
          <w:i/>
          <w:iCs/>
          <w:szCs w:val="24"/>
          <w:lang w:val="uk-UA"/>
        </w:rPr>
        <w:t>встановлення засобів і способів виявлення наявності або відсутності наслідків для довкілля, у тому числі для здоров’я населення з урахуванням можливості виявлення наслідків, не передбачених звітом про стратегічну екологічну оцінку.</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Якщо при здійсненні моніторингу виявлено не передбачені звітом про стратегічну екологічну оцінку негативні наслідки виконання документа державного планування для довкілля, у тому числі для здоров’я населення, необхідно вжити заходи для їх усунення, а також порушити питання про зупинення дії документу державного планування у частині, яка призвела до таких наслідків, та/або прийняти рішення про внесення змін до документу державного планування з метою їх усунення. Після чого зініціювати здійснення стратегічної екологічної оцінки документу державного планування до якого внесено зміни.</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
          <w:bCs/>
          <w:szCs w:val="24"/>
          <w:u w:val="single"/>
          <w:lang w:val="uk-UA"/>
        </w:rPr>
        <w:t>б) Для юридичних і фізичних осіб, що здійснюють свою діяльність на території населеного пункту</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 проведення щорічного контролю якості повітря, об’єктів що здійснюють викиди, на межі санітарно-захисної зони та найближчої житлової забудови (згідно нормативних показників).</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u w:val="single"/>
          <w:lang w:val="uk-UA"/>
        </w:rPr>
        <w:t>Інформаційна взаємодія</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 xml:space="preserve">Суб'єктами ДСМД створені, або розробляються відомчі бази даних моніторингової інформації. Існуюча система інформаційної взаємодії відомчих підсистем моніторингу довкілля передбачає обмін інформацією на загальнодержавному та регіональному рівнях. Організаційна інтеграція суб'єктів моніторингу довкілля на всіх рівнях здійснюється </w:t>
      </w:r>
      <w:proofErr w:type="spellStart"/>
      <w:r w:rsidRPr="006710E9">
        <w:rPr>
          <w:rFonts w:ascii="Arial" w:hAnsi="Arial" w:cs="Arial"/>
          <w:bCs/>
          <w:szCs w:val="24"/>
          <w:lang w:val="uk-UA"/>
        </w:rPr>
        <w:t>Мінприроди</w:t>
      </w:r>
      <w:proofErr w:type="spellEnd"/>
      <w:r w:rsidRPr="006710E9">
        <w:rPr>
          <w:rFonts w:ascii="Arial" w:hAnsi="Arial" w:cs="Arial"/>
          <w:bCs/>
          <w:szCs w:val="24"/>
          <w:lang w:val="uk-UA"/>
        </w:rPr>
        <w:t xml:space="preserve"> та його територіальними органами.</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 xml:space="preserve">Для упорядкування процесу обміну інформацією за показниками та термінами надання екологічної інформації між </w:t>
      </w:r>
      <w:proofErr w:type="spellStart"/>
      <w:r w:rsidRPr="006710E9">
        <w:rPr>
          <w:rFonts w:ascii="Arial" w:hAnsi="Arial" w:cs="Arial"/>
          <w:bCs/>
          <w:szCs w:val="24"/>
          <w:lang w:val="uk-UA"/>
        </w:rPr>
        <w:t>Мінприроди</w:t>
      </w:r>
      <w:proofErr w:type="spellEnd"/>
      <w:r w:rsidRPr="006710E9">
        <w:rPr>
          <w:rFonts w:ascii="Arial" w:hAnsi="Arial" w:cs="Arial"/>
          <w:bCs/>
          <w:szCs w:val="24"/>
          <w:lang w:val="uk-UA"/>
        </w:rPr>
        <w:t xml:space="preserve"> та суб’єктами ДСМД укладено </w:t>
      </w:r>
      <w:proofErr w:type="spellStart"/>
      <w:r w:rsidRPr="006710E9">
        <w:rPr>
          <w:rFonts w:ascii="Arial" w:hAnsi="Arial" w:cs="Arial"/>
          <w:bCs/>
          <w:szCs w:val="24"/>
          <w:lang w:val="uk-UA"/>
        </w:rPr>
        <w:t>двохсторонні</w:t>
      </w:r>
      <w:proofErr w:type="spellEnd"/>
      <w:r w:rsidRPr="006710E9">
        <w:rPr>
          <w:rFonts w:ascii="Arial" w:hAnsi="Arial" w:cs="Arial"/>
          <w:bCs/>
          <w:szCs w:val="24"/>
          <w:lang w:val="uk-UA"/>
        </w:rPr>
        <w:t xml:space="preserve"> угоди про співробітництво у сфері моніторингу навколишнього природного середовища, до яких розроблені відповідні регламенти обміну екологічною інформацією.</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 xml:space="preserve">Оперативна моніторингова інформація передається територіальними органами суб'єктів ДСМД до регіональних центрів моніторингу довкілля, або державних управлінь охорони навколишнього природного середовища в регіонах. Узагальнена аналітична інформація надається міністерствами та відомствами-суб'єктами ДСМД </w:t>
      </w:r>
      <w:proofErr w:type="spellStart"/>
      <w:r w:rsidRPr="006710E9">
        <w:rPr>
          <w:rFonts w:ascii="Arial" w:hAnsi="Arial" w:cs="Arial"/>
          <w:bCs/>
          <w:szCs w:val="24"/>
          <w:lang w:val="uk-UA"/>
        </w:rPr>
        <w:t>Мінприроди</w:t>
      </w:r>
      <w:proofErr w:type="spellEnd"/>
      <w:r w:rsidRPr="006710E9">
        <w:rPr>
          <w:rFonts w:ascii="Arial" w:hAnsi="Arial" w:cs="Arial"/>
          <w:bCs/>
          <w:szCs w:val="24"/>
          <w:lang w:val="uk-UA"/>
        </w:rPr>
        <w:t>. Отримані дані передаються до</w:t>
      </w:r>
      <w:hyperlink r:id="rId5" w:history="1">
        <w:r w:rsidRPr="006710E9">
          <w:rPr>
            <w:rStyle w:val="a3"/>
            <w:rFonts w:ascii="Arial" w:hAnsi="Arial" w:cs="Arial"/>
            <w:bCs/>
            <w:color w:val="auto"/>
            <w:szCs w:val="24"/>
          </w:rPr>
          <w:t xml:space="preserve"> </w:t>
        </w:r>
        <w:proofErr w:type="spellStart"/>
        <w:r w:rsidRPr="006710E9">
          <w:rPr>
            <w:rStyle w:val="a3"/>
            <w:rFonts w:ascii="Arial" w:hAnsi="Arial" w:cs="Arial"/>
            <w:bCs/>
            <w:color w:val="auto"/>
            <w:szCs w:val="24"/>
          </w:rPr>
          <w:t>Інформаційно-аналітичного</w:t>
        </w:r>
        <w:proofErr w:type="spellEnd"/>
        <w:r w:rsidRPr="006710E9">
          <w:rPr>
            <w:rStyle w:val="a3"/>
            <w:rFonts w:ascii="Arial" w:hAnsi="Arial" w:cs="Arial"/>
            <w:bCs/>
            <w:color w:val="auto"/>
            <w:szCs w:val="24"/>
          </w:rPr>
          <w:t xml:space="preserve"> центру </w:t>
        </w:r>
        <w:proofErr w:type="spellStart"/>
        <w:r w:rsidRPr="006710E9">
          <w:rPr>
            <w:rStyle w:val="a3"/>
            <w:rFonts w:ascii="Arial" w:hAnsi="Arial" w:cs="Arial"/>
            <w:bCs/>
            <w:color w:val="auto"/>
            <w:szCs w:val="24"/>
          </w:rPr>
          <w:t>Мінприроди</w:t>
        </w:r>
        <w:proofErr w:type="spellEnd"/>
        <w:r w:rsidRPr="006710E9">
          <w:rPr>
            <w:rStyle w:val="a3"/>
            <w:rFonts w:ascii="Arial" w:hAnsi="Arial" w:cs="Arial"/>
            <w:bCs/>
            <w:color w:val="auto"/>
            <w:szCs w:val="24"/>
          </w:rPr>
          <w:t xml:space="preserve"> та</w:t>
        </w:r>
      </w:hyperlink>
      <w:r w:rsidRPr="006710E9">
        <w:rPr>
          <w:rFonts w:ascii="Arial" w:hAnsi="Arial" w:cs="Arial"/>
          <w:bCs/>
          <w:szCs w:val="24"/>
          <w:lang w:val="uk-UA"/>
        </w:rPr>
        <w:t xml:space="preserve"> </w:t>
      </w:r>
      <w:hyperlink r:id="rId6" w:history="1">
        <w:proofErr w:type="spellStart"/>
        <w:r w:rsidRPr="006710E9">
          <w:rPr>
            <w:rStyle w:val="a3"/>
            <w:rFonts w:ascii="Arial" w:hAnsi="Arial" w:cs="Arial"/>
            <w:bCs/>
            <w:color w:val="auto"/>
            <w:szCs w:val="24"/>
          </w:rPr>
          <w:t>накопичується</w:t>
        </w:r>
        <w:proofErr w:type="spellEnd"/>
        <w:r w:rsidRPr="006710E9">
          <w:rPr>
            <w:rStyle w:val="a3"/>
            <w:rFonts w:ascii="Arial" w:hAnsi="Arial" w:cs="Arial"/>
            <w:bCs/>
            <w:color w:val="auto"/>
            <w:szCs w:val="24"/>
          </w:rPr>
          <w:t xml:space="preserve"> у банках </w:t>
        </w:r>
        <w:proofErr w:type="spellStart"/>
        <w:r w:rsidRPr="006710E9">
          <w:rPr>
            <w:rStyle w:val="a3"/>
            <w:rFonts w:ascii="Arial" w:hAnsi="Arial" w:cs="Arial"/>
            <w:bCs/>
            <w:color w:val="auto"/>
            <w:szCs w:val="24"/>
          </w:rPr>
          <w:t>екологічних</w:t>
        </w:r>
        <w:proofErr w:type="spellEnd"/>
        <w:r w:rsidRPr="006710E9">
          <w:rPr>
            <w:rStyle w:val="a3"/>
            <w:rFonts w:ascii="Arial" w:hAnsi="Arial" w:cs="Arial"/>
            <w:bCs/>
            <w:color w:val="auto"/>
            <w:szCs w:val="24"/>
          </w:rPr>
          <w:t xml:space="preserve"> </w:t>
        </w:r>
        <w:proofErr w:type="spellStart"/>
        <w:r w:rsidRPr="006710E9">
          <w:rPr>
            <w:rStyle w:val="a3"/>
            <w:rFonts w:ascii="Arial" w:hAnsi="Arial" w:cs="Arial"/>
            <w:bCs/>
            <w:color w:val="auto"/>
            <w:szCs w:val="24"/>
          </w:rPr>
          <w:t>даних</w:t>
        </w:r>
        <w:proofErr w:type="spellEnd"/>
        <w:r w:rsidRPr="006710E9">
          <w:rPr>
            <w:rStyle w:val="a3"/>
            <w:rFonts w:ascii="Arial" w:hAnsi="Arial" w:cs="Arial"/>
            <w:bCs/>
            <w:color w:val="auto"/>
            <w:szCs w:val="24"/>
          </w:rPr>
          <w:t>.</w:t>
        </w:r>
      </w:hyperlink>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 xml:space="preserve">На основі отриманої щомісячної та щоквартальної інформації </w:t>
      </w:r>
      <w:proofErr w:type="spellStart"/>
      <w:r w:rsidRPr="006710E9">
        <w:rPr>
          <w:rFonts w:ascii="Arial" w:hAnsi="Arial" w:cs="Arial"/>
          <w:bCs/>
          <w:szCs w:val="24"/>
          <w:lang w:val="uk-UA"/>
        </w:rPr>
        <w:t>Мінприроди</w:t>
      </w:r>
      <w:proofErr w:type="spellEnd"/>
      <w:r w:rsidRPr="006710E9">
        <w:rPr>
          <w:rFonts w:ascii="Arial" w:hAnsi="Arial" w:cs="Arial"/>
          <w:bCs/>
          <w:szCs w:val="24"/>
          <w:lang w:val="uk-UA"/>
        </w:rPr>
        <w:t xml:space="preserve"> видається інформаційно-аналітичний огляд «Стан довкілля в Україні», який </w:t>
      </w:r>
      <w:r w:rsidRPr="006710E9">
        <w:rPr>
          <w:rFonts w:ascii="Arial" w:hAnsi="Arial" w:cs="Arial"/>
          <w:bCs/>
          <w:szCs w:val="24"/>
          <w:lang w:val="uk-UA"/>
        </w:rPr>
        <w:lastRenderedPageBreak/>
        <w:t xml:space="preserve">розповсюджується серед заінтересованих користувачів. Функціонування Інформаційно-аналітичного центру </w:t>
      </w:r>
      <w:proofErr w:type="spellStart"/>
      <w:r w:rsidRPr="006710E9">
        <w:rPr>
          <w:rFonts w:ascii="Arial" w:hAnsi="Arial" w:cs="Arial"/>
          <w:bCs/>
          <w:szCs w:val="24"/>
          <w:lang w:val="uk-UA"/>
        </w:rPr>
        <w:t>Мінприроди</w:t>
      </w:r>
      <w:proofErr w:type="spellEnd"/>
      <w:r w:rsidRPr="006710E9">
        <w:rPr>
          <w:rFonts w:ascii="Arial" w:hAnsi="Arial" w:cs="Arial"/>
          <w:bCs/>
          <w:szCs w:val="24"/>
          <w:lang w:val="uk-UA"/>
        </w:rPr>
        <w:t xml:space="preserve"> забезпечує інформаційний обмін з регіональними центрами моніторингу довкілля, суб’єктами державної системи моніторингу довкілля, створення уніфікованого банку екологічних даних, проведення комплексного аналізу стану довкілля, тощо.</w:t>
      </w:r>
    </w:p>
    <w:p w:rsidR="00566D2C" w:rsidRPr="006710E9" w:rsidRDefault="00566D2C" w:rsidP="00566D2C">
      <w:pPr>
        <w:spacing w:after="0" w:line="276" w:lineRule="auto"/>
        <w:ind w:firstLine="567"/>
        <w:contextualSpacing/>
        <w:jc w:val="both"/>
        <w:rPr>
          <w:rFonts w:ascii="Arial" w:hAnsi="Arial" w:cs="Arial"/>
          <w:bCs/>
          <w:szCs w:val="24"/>
          <w:lang w:val="uk-UA"/>
        </w:rPr>
      </w:pPr>
      <w:r w:rsidRPr="006710E9">
        <w:rPr>
          <w:rFonts w:ascii="Arial" w:hAnsi="Arial" w:cs="Arial"/>
          <w:bCs/>
          <w:szCs w:val="24"/>
          <w:lang w:val="uk-UA"/>
        </w:rPr>
        <w:t xml:space="preserve">Здійснення моніторингу впливів на довкілля щодо реалізації пропозицій документу державного планування, у тому числі на здоров’я населення, за запропонованими показниками із введенням щорічної звітності, дасть можливість органу місцевого самоврядування своєчасно виявляти порушення і недоліки, відхилення від нормативних показників та своєчасно опрацьовувати заходи та терміни по їх усуненню, складати звіти та щорічно інформувати мешканців громади про стан реалізації документу державного планування та результати моніторингу на офіційному веб-сайті </w:t>
      </w:r>
      <w:r w:rsidRPr="006710E9">
        <w:rPr>
          <w:rFonts w:ascii="Arial" w:hAnsi="Arial" w:cs="Arial"/>
          <w:b/>
          <w:bCs/>
          <w:i/>
          <w:iCs/>
          <w:szCs w:val="24"/>
          <w:u w:val="single"/>
          <w:lang w:val="uk-UA"/>
        </w:rPr>
        <w:t xml:space="preserve">місцевого органу державної виконавчої влади. </w:t>
      </w:r>
      <w:r w:rsidRPr="006710E9">
        <w:rPr>
          <w:rFonts w:ascii="Arial" w:hAnsi="Arial" w:cs="Arial"/>
          <w:bCs/>
          <w:szCs w:val="24"/>
          <w:lang w:val="uk-UA"/>
        </w:rPr>
        <w:t>Моніторинг впливу на довкілля є обов’язковою умовою при здійсненні планованої діяльності. Постановою Кабінету Міністрів України від 05.12.2007 № 1376 затверджено Державну цільову екологічну програму проведення моніторингу навколишнього природного середовища. Програма спрямована на поєднання зусиль усіх суб'єктів системи моніторингу щодо виключення дублювання та включення додаткових функцій з моніторингу, створення єдиної мережі спостережень після оптимізації її елементів та програм спостережень, вдосконалення технічного, методичного, метрологічного та наукового забезпечення функціонування єдиної мережі спостережень. З метою забезпечення інтеграції інформаційних ресурсів суб'єктів системи моніторингу довкілля передбачено створення та забезпечення функціонування єдиної автоматизованої підсистеми збору, оброблення, аналізу і збереження даних та інформації, отриманих в результаті здійснення моніторингу.</w:t>
      </w:r>
      <w:bookmarkStart w:id="6" w:name="_GoBack"/>
      <w:bookmarkEnd w:id="6"/>
    </w:p>
    <w:sectPr w:rsidR="00566D2C" w:rsidRPr="00671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98E"/>
    <w:multiLevelType w:val="multilevel"/>
    <w:tmpl w:val="B55CFA2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A50D64"/>
    <w:multiLevelType w:val="multilevel"/>
    <w:tmpl w:val="BDDE6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A91423"/>
    <w:multiLevelType w:val="multilevel"/>
    <w:tmpl w:val="7A80F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2C"/>
    <w:rsid w:val="002479DF"/>
    <w:rsid w:val="00566D2C"/>
    <w:rsid w:val="0093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FD87"/>
  <w15:chartTrackingRefBased/>
  <w15:docId w15:val="{9345949F-07B3-4124-AE55-CA2F6125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D2C"/>
    <w:rPr>
      <w:kern w:val="2"/>
      <w:sz w:val="24"/>
      <w14:ligatures w14:val="standardContextual"/>
    </w:rPr>
  </w:style>
  <w:style w:type="paragraph" w:styleId="1">
    <w:name w:val="heading 1"/>
    <w:basedOn w:val="a"/>
    <w:next w:val="a"/>
    <w:link w:val="10"/>
    <w:uiPriority w:val="1"/>
    <w:qFormat/>
    <w:rsid w:val="00566D2C"/>
    <w:pPr>
      <w:keepNext/>
      <w:keepLines/>
      <w:spacing w:before="240" w:after="0"/>
      <w:outlineLvl w:val="0"/>
    </w:pPr>
    <w:rPr>
      <w:rFonts w:asciiTheme="majorHAnsi" w:eastAsiaTheme="majorEastAsia" w:hAnsiTheme="majorHAnsi" w:cstheme="majorBidi"/>
      <w:color w:val="2E74B5" w:themeColor="accent1" w:themeShade="BF"/>
      <w:kern w:val="0"/>
      <w:sz w:val="32"/>
      <w:szCs w:val="32"/>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566D2C"/>
    <w:rPr>
      <w:rFonts w:asciiTheme="majorHAnsi" w:eastAsiaTheme="majorEastAsia" w:hAnsiTheme="majorHAnsi" w:cstheme="majorBidi"/>
      <w:color w:val="2E74B5" w:themeColor="accent1" w:themeShade="BF"/>
      <w:sz w:val="32"/>
      <w:szCs w:val="32"/>
      <w:lang w:val="uk-UA"/>
    </w:rPr>
  </w:style>
  <w:style w:type="character" w:styleId="a3">
    <w:name w:val="Hyperlink"/>
    <w:basedOn w:val="a0"/>
    <w:uiPriority w:val="99"/>
    <w:unhideWhenUsed/>
    <w:qFormat/>
    <w:rsid w:val="00566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bank.org.ua/Pages/default.aspx" TargetMode="External"/><Relationship Id="rId5" Type="http://schemas.openxmlformats.org/officeDocument/2006/relationships/hyperlink" Target="http://www.ecobank.org.ua/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2670</Words>
  <Characters>15222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Вiкторiвна</dc:creator>
  <cp:keywords/>
  <dc:description/>
  <cp:lastModifiedBy>Лариса Вiкторiвна</cp:lastModifiedBy>
  <cp:revision>1</cp:revision>
  <dcterms:created xsi:type="dcterms:W3CDTF">2025-02-25T08:25:00Z</dcterms:created>
  <dcterms:modified xsi:type="dcterms:W3CDTF">2025-02-25T08:26:00Z</dcterms:modified>
</cp:coreProperties>
</file>